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8A8F" w14:textId="77777777" w:rsidR="00FB36DA" w:rsidRPr="00313670" w:rsidRDefault="00C201B3" w:rsidP="00FB36DA">
      <w:pPr>
        <w:spacing w:after="0" w:line="276" w:lineRule="auto"/>
        <w:rPr>
          <w:b/>
          <w:bCs/>
        </w:rPr>
      </w:pPr>
      <w:r w:rsidRPr="00313670">
        <w:rPr>
          <w:b/>
          <w:bCs/>
        </w:rPr>
        <w:t>A</w:t>
      </w:r>
      <w:r w:rsidR="00FB36DA" w:rsidRPr="00313670">
        <w:rPr>
          <w:b/>
          <w:bCs/>
        </w:rPr>
        <w:t>gent Information</w:t>
      </w:r>
    </w:p>
    <w:p w14:paraId="1A9A43A7" w14:textId="77777777" w:rsidR="00FB36DA" w:rsidRDefault="00C201B3" w:rsidP="002D71CD">
      <w:pPr>
        <w:pStyle w:val="ListParagraph"/>
        <w:numPr>
          <w:ilvl w:val="0"/>
          <w:numId w:val="1"/>
        </w:numPr>
        <w:spacing w:after="0" w:line="276" w:lineRule="auto"/>
      </w:pPr>
      <w:r w:rsidRPr="00C201B3">
        <w:rPr>
          <w:rFonts w:eastAsia="Times New Roman" w:cstheme="minorHAnsi"/>
          <w:bCs/>
          <w:i/>
          <w:kern w:val="36"/>
        </w:rPr>
        <w:t>Cryptococcus neoformans</w:t>
      </w:r>
      <w:r w:rsidRPr="00C201B3">
        <w:rPr>
          <w:rFonts w:eastAsia="Times New Roman" w:cstheme="minorHAnsi"/>
          <w:bCs/>
          <w:kern w:val="36"/>
        </w:rPr>
        <w:t xml:space="preserve"> (</w:t>
      </w:r>
      <w:r w:rsidR="00FB36DA" w:rsidRPr="00C53B5E">
        <w:rPr>
          <w:i/>
        </w:rPr>
        <w:t>C. neoformans</w:t>
      </w:r>
      <w:r w:rsidRPr="00C201B3">
        <w:t>)</w:t>
      </w:r>
      <w:r w:rsidR="00FB36DA" w:rsidRPr="00C201B3">
        <w:t xml:space="preserve"> is a </w:t>
      </w:r>
      <w:r w:rsidR="00A83712" w:rsidRPr="00C201B3">
        <w:t>fungal pathogen.</w:t>
      </w:r>
      <w:r w:rsidR="00A83712">
        <w:t xml:space="preserve"> It is a </w:t>
      </w:r>
      <w:r w:rsidR="00FB36DA">
        <w:t xml:space="preserve">spherical yeast that can differentiate into several morphological forms including yeast (typical form </w:t>
      </w:r>
      <w:r w:rsidR="008051B7">
        <w:t xml:space="preserve">found </w:t>
      </w:r>
      <w:r w:rsidR="00FB36DA">
        <w:t xml:space="preserve">in infections and in the environment), chlamydospores, </w:t>
      </w:r>
      <w:proofErr w:type="spellStart"/>
      <w:r w:rsidR="00FB36DA">
        <w:t>pseudohyphae</w:t>
      </w:r>
      <w:proofErr w:type="spellEnd"/>
      <w:r w:rsidR="00FB36DA">
        <w:t xml:space="preserve">, and </w:t>
      </w:r>
      <w:proofErr w:type="spellStart"/>
      <w:r w:rsidR="00FB36DA">
        <w:t>hyphe</w:t>
      </w:r>
      <w:proofErr w:type="spellEnd"/>
      <w:r w:rsidR="00FB36DA">
        <w:t>.</w:t>
      </w:r>
      <w:r w:rsidR="00A83712">
        <w:t xml:space="preserve"> Both basidiospores and asexual yeasts are infectious.</w:t>
      </w:r>
    </w:p>
    <w:p w14:paraId="2B221DE2" w14:textId="77777777" w:rsidR="00A83712" w:rsidRDefault="00D66E6D" w:rsidP="002D71CD">
      <w:pPr>
        <w:pStyle w:val="ListParagraph"/>
        <w:numPr>
          <w:ilvl w:val="0"/>
          <w:numId w:val="1"/>
        </w:numPr>
        <w:spacing w:after="0" w:line="276" w:lineRule="auto"/>
      </w:pPr>
      <w:r w:rsidRPr="00C53B5E">
        <w:rPr>
          <w:i/>
        </w:rPr>
        <w:t>C. neoformans</w:t>
      </w:r>
      <w:r>
        <w:t xml:space="preserve"> d</w:t>
      </w:r>
      <w:r w:rsidR="00A83712">
        <w:t>istribution</w:t>
      </w:r>
      <w:r w:rsidR="002D71CD">
        <w:t xml:space="preserve"> </w:t>
      </w:r>
      <w:r w:rsidR="00C53B5E">
        <w:t>is world</w:t>
      </w:r>
      <w:r w:rsidR="00A83712">
        <w:t>wide and is associated with pigeon feces.</w:t>
      </w:r>
      <w:r w:rsidR="002D71CD">
        <w:t xml:space="preserve"> It can be found in soil, bird guano, blood, urine, bone marrow specimens, brain, CSF, eye</w:t>
      </w:r>
      <w:r w:rsidR="00C201B3">
        <w:t>,</w:t>
      </w:r>
      <w:r w:rsidR="002D71CD">
        <w:t xml:space="preserve"> respiratory system, </w:t>
      </w:r>
      <w:proofErr w:type="gramStart"/>
      <w:r w:rsidR="002D71CD">
        <w:t>skin</w:t>
      </w:r>
      <w:proofErr w:type="gramEnd"/>
      <w:r w:rsidR="002D71CD">
        <w:t xml:space="preserve"> and mucous membranes.</w:t>
      </w:r>
    </w:p>
    <w:p w14:paraId="56E13420" w14:textId="77777777" w:rsidR="0037619A" w:rsidRDefault="00C201B3" w:rsidP="002D71CD">
      <w:pPr>
        <w:pStyle w:val="ListParagraph"/>
        <w:numPr>
          <w:ilvl w:val="0"/>
          <w:numId w:val="1"/>
        </w:numPr>
        <w:spacing w:after="0" w:line="276" w:lineRule="auto"/>
      </w:pPr>
      <w:r>
        <w:t>The h</w:t>
      </w:r>
      <w:r w:rsidR="008051B7">
        <w:t>ost range</w:t>
      </w:r>
      <w:r>
        <w:t xml:space="preserve"> of </w:t>
      </w:r>
      <w:r w:rsidRPr="00C201B3">
        <w:rPr>
          <w:i/>
        </w:rPr>
        <w:t xml:space="preserve">C. neoformans </w:t>
      </w:r>
      <w:r w:rsidR="008051B7">
        <w:t xml:space="preserve">includes humans and </w:t>
      </w:r>
      <w:r w:rsidR="0037619A">
        <w:t>animals</w:t>
      </w:r>
      <w:r w:rsidR="005A3468">
        <w:t xml:space="preserve">, both wild and </w:t>
      </w:r>
      <w:r w:rsidR="00F10496">
        <w:t>domestic</w:t>
      </w:r>
      <w:r w:rsidR="0037619A">
        <w:t>.</w:t>
      </w:r>
      <w:r w:rsidR="00D66E6D">
        <w:t xml:space="preserve"> </w:t>
      </w:r>
    </w:p>
    <w:p w14:paraId="1899A557" w14:textId="77777777" w:rsidR="00202F3A" w:rsidRDefault="002D71CD" w:rsidP="00D66E6D">
      <w:pPr>
        <w:pStyle w:val="ListParagraph"/>
        <w:numPr>
          <w:ilvl w:val="0"/>
          <w:numId w:val="1"/>
        </w:numPr>
        <w:spacing w:after="0" w:line="276" w:lineRule="auto"/>
      </w:pPr>
      <w:r w:rsidRPr="00C201B3">
        <w:rPr>
          <w:i/>
        </w:rPr>
        <w:t>C.</w:t>
      </w:r>
      <w:r w:rsidR="00F10496">
        <w:rPr>
          <w:i/>
        </w:rPr>
        <w:t xml:space="preserve"> </w:t>
      </w:r>
      <w:r w:rsidRPr="00C201B3">
        <w:rPr>
          <w:i/>
        </w:rPr>
        <w:t>neoformans</w:t>
      </w:r>
      <w:r>
        <w:t xml:space="preserve"> infection (c</w:t>
      </w:r>
      <w:r w:rsidR="00C04B9B">
        <w:t>ryptococcosis) can cause a variety of</w:t>
      </w:r>
      <w:r>
        <w:t xml:space="preserve"> diseases</w:t>
      </w:r>
      <w:r w:rsidR="00D66E6D">
        <w:t xml:space="preserve"> in</w:t>
      </w:r>
      <w:r w:rsidR="00202F3A">
        <w:t xml:space="preserve"> the CNS, respiratory</w:t>
      </w:r>
      <w:r>
        <w:t xml:space="preserve"> system </w:t>
      </w:r>
      <w:r w:rsidR="008051B7">
        <w:t>(pulmonary cryptococcosis)</w:t>
      </w:r>
      <w:r w:rsidR="00AF794B">
        <w:t xml:space="preserve"> and skin in immunocompetent and immunocompromised individuals. However, most exposed individuals do not become ill.</w:t>
      </w:r>
    </w:p>
    <w:p w14:paraId="5968BBCB" w14:textId="77777777" w:rsidR="002D71CD" w:rsidRDefault="008051B7" w:rsidP="008051B7">
      <w:pPr>
        <w:pStyle w:val="ListParagraph"/>
        <w:numPr>
          <w:ilvl w:val="0"/>
          <w:numId w:val="1"/>
        </w:numPr>
        <w:spacing w:after="0" w:line="276" w:lineRule="auto"/>
      </w:pPr>
      <w:r w:rsidRPr="00C201B3">
        <w:rPr>
          <w:i/>
        </w:rPr>
        <w:t>C.</w:t>
      </w:r>
      <w:r w:rsidR="00F10496">
        <w:rPr>
          <w:i/>
        </w:rPr>
        <w:t xml:space="preserve"> </w:t>
      </w:r>
      <w:r w:rsidRPr="00C201B3">
        <w:rPr>
          <w:i/>
        </w:rPr>
        <w:t>neoformans</w:t>
      </w:r>
      <w:r>
        <w:t xml:space="preserve"> infection in the CNS</w:t>
      </w:r>
      <w:r w:rsidR="002D71CD">
        <w:t xml:space="preserve"> can be fatal, if left untreated.</w:t>
      </w:r>
    </w:p>
    <w:p w14:paraId="21F935A3" w14:textId="77777777" w:rsidR="0037619A" w:rsidRDefault="00C201B3" w:rsidP="002D71CD">
      <w:pPr>
        <w:pStyle w:val="ListParagraph"/>
        <w:numPr>
          <w:ilvl w:val="0"/>
          <w:numId w:val="1"/>
        </w:numPr>
        <w:spacing w:after="0" w:line="276" w:lineRule="auto"/>
      </w:pPr>
      <w:r>
        <w:t>Transmission is through i</w:t>
      </w:r>
      <w:r w:rsidR="0037619A">
        <w:t>nhalation of spores present in the environment</w:t>
      </w:r>
      <w:r w:rsidR="00A83712">
        <w:t>, not person-to-person contact.</w:t>
      </w:r>
    </w:p>
    <w:p w14:paraId="708B6E5A" w14:textId="77777777" w:rsidR="00FB36DA" w:rsidRDefault="0037619A" w:rsidP="002D71CD">
      <w:pPr>
        <w:pStyle w:val="ListParagraph"/>
        <w:numPr>
          <w:ilvl w:val="0"/>
          <w:numId w:val="1"/>
        </w:numPr>
        <w:spacing w:after="0" w:line="276" w:lineRule="auto"/>
      </w:pPr>
      <w:r>
        <w:t>Primary hazards to lab workers are (1) airborne, due to basidiospore or desiccated yeast inhalation and (2) parenteral inoculation.</w:t>
      </w:r>
      <w:r w:rsidR="00AB23CE">
        <w:t xml:space="preserve"> Bites from infected laboratory animal and </w:t>
      </w:r>
      <w:r w:rsidR="00D66E6D">
        <w:t xml:space="preserve">handling </w:t>
      </w:r>
      <w:r w:rsidR="00AB23CE">
        <w:t>infected dropping of</w:t>
      </w:r>
      <w:r w:rsidR="00AF794B">
        <w:t xml:space="preserve"> birds are</w:t>
      </w:r>
      <w:r w:rsidR="00AB23CE">
        <w:t xml:space="preserve"> of concern.</w:t>
      </w:r>
    </w:p>
    <w:p w14:paraId="30155F1E" w14:textId="77777777" w:rsidR="00FB36DA" w:rsidRDefault="00FB36DA" w:rsidP="002D71CD">
      <w:pPr>
        <w:pStyle w:val="ListParagraph"/>
        <w:numPr>
          <w:ilvl w:val="0"/>
          <w:numId w:val="1"/>
        </w:numPr>
        <w:spacing w:after="0" w:line="276" w:lineRule="auto"/>
      </w:pPr>
      <w:r w:rsidRPr="00C201B3">
        <w:rPr>
          <w:i/>
        </w:rPr>
        <w:t>C. neoformans</w:t>
      </w:r>
      <w:r>
        <w:t xml:space="preserve"> is a Risk Group 2 agent and requires biosafety level two containment and work practices.</w:t>
      </w:r>
    </w:p>
    <w:p w14:paraId="3EEED572" w14:textId="77777777" w:rsidR="00FB36DA" w:rsidRDefault="00FB36DA" w:rsidP="00FB36DA">
      <w:pPr>
        <w:spacing w:after="0" w:line="276" w:lineRule="auto"/>
      </w:pPr>
    </w:p>
    <w:p w14:paraId="6B7F3E31" w14:textId="77777777" w:rsidR="00FB36DA" w:rsidRPr="00C201B3" w:rsidRDefault="00FB36DA" w:rsidP="00FB36DA">
      <w:pPr>
        <w:spacing w:after="0" w:line="276" w:lineRule="auto"/>
        <w:rPr>
          <w:b/>
        </w:rPr>
      </w:pPr>
      <w:r w:rsidRPr="00C201B3">
        <w:rPr>
          <w:b/>
        </w:rPr>
        <w:t>References:</w:t>
      </w:r>
    </w:p>
    <w:p w14:paraId="0B81DE75" w14:textId="77777777" w:rsidR="00FB36DA" w:rsidRPr="00FB36DA" w:rsidRDefault="00FB36DA" w:rsidP="00C201B3">
      <w:pPr>
        <w:pStyle w:val="ListParagraph"/>
        <w:numPr>
          <w:ilvl w:val="0"/>
          <w:numId w:val="6"/>
        </w:numPr>
        <w:spacing w:after="0" w:line="276" w:lineRule="auto"/>
      </w:pPr>
      <w:r w:rsidRPr="00C201B3">
        <w:rPr>
          <w:rFonts w:eastAsia="Times New Roman" w:cstheme="minorHAnsi"/>
          <w:bCs/>
          <w:kern w:val="36"/>
        </w:rPr>
        <w:t xml:space="preserve">Pathogen Safety Data Sheets: Infectious Substances – </w:t>
      </w:r>
      <w:r w:rsidRPr="00C201B3">
        <w:rPr>
          <w:rFonts w:eastAsia="Times New Roman" w:cstheme="minorHAnsi"/>
          <w:bCs/>
          <w:i/>
          <w:kern w:val="36"/>
        </w:rPr>
        <w:t>Cryptococcus neoform</w:t>
      </w:r>
      <w:r w:rsidRPr="00905815">
        <w:rPr>
          <w:rFonts w:eastAsia="Times New Roman" w:cstheme="minorHAnsi"/>
          <w:bCs/>
          <w:i/>
          <w:kern w:val="36"/>
        </w:rPr>
        <w:t>ans</w:t>
      </w:r>
      <w:r w:rsidR="00905815">
        <w:rPr>
          <w:rFonts w:eastAsia="Times New Roman" w:cstheme="minorHAnsi"/>
          <w:bCs/>
          <w:kern w:val="36"/>
        </w:rPr>
        <w:t xml:space="preserve">. Revised 2018. </w:t>
      </w:r>
      <w:hyperlink r:id="rId7" w:history="1">
        <w:r w:rsidRPr="00C201B3">
          <w:rPr>
            <w:rStyle w:val="Hyperlink"/>
          </w:rPr>
          <w:t>https://www.canada.ca/en/public-health/services/laboratory-biosafety-biosecurity/pathogen-safety-data-sheets-risk-assessment/cryptococcus-neoformans.html</w:t>
        </w:r>
      </w:hyperlink>
      <w:r>
        <w:t xml:space="preserve"> </w:t>
      </w:r>
    </w:p>
    <w:p w14:paraId="73E618FA" w14:textId="77777777" w:rsidR="00313670" w:rsidRPr="009C25E9" w:rsidRDefault="00313670" w:rsidP="003136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C25E9">
        <w:rPr>
          <w:rFonts w:cstheme="minorHAnsi"/>
        </w:rPr>
        <w:t>Biosafety in Microbiological and Biomedical Laboratories-6</w:t>
      </w:r>
      <w:r w:rsidRPr="009C25E9">
        <w:rPr>
          <w:rFonts w:cstheme="minorHAnsi"/>
          <w:vertAlign w:val="superscript"/>
        </w:rPr>
        <w:t>th</w:t>
      </w:r>
      <w:r w:rsidRPr="009C25E9">
        <w:rPr>
          <w:rFonts w:cstheme="minorHAnsi"/>
        </w:rPr>
        <w:t xml:space="preserve"> Edition (BMBL 6). U.S. Department of Health and Human Services, CDC, NIH </w:t>
      </w:r>
      <w:r>
        <w:rPr>
          <w:rFonts w:cstheme="minorHAnsi"/>
        </w:rPr>
        <w:t>(</w:t>
      </w:r>
      <w:hyperlink r:id="rId8" w:history="1">
        <w:r w:rsidRPr="007E7DF3">
          <w:rPr>
            <w:rStyle w:val="Hyperlink"/>
            <w:rFonts w:eastAsia="Times New Roman" w:cstheme="minorHAnsi"/>
            <w:bCs/>
            <w:kern w:val="36"/>
          </w:rPr>
          <w:t>https://www.cdc.gov/labs/pdf/CDC-BiosafetyMicrobiologicalBiomedicalLaboratories-2020-P.pdf</w:t>
        </w:r>
      </w:hyperlink>
      <w:r>
        <w:rPr>
          <w:rFonts w:eastAsia="Times New Roman" w:cstheme="minorHAnsi"/>
          <w:bCs/>
          <w:kern w:val="36"/>
        </w:rPr>
        <w:t>)</w:t>
      </w:r>
    </w:p>
    <w:p w14:paraId="0E0AA4BB" w14:textId="77777777" w:rsidR="00C201B3" w:rsidRPr="00C201B3" w:rsidRDefault="00C201B3" w:rsidP="00C201B3">
      <w:pPr>
        <w:pStyle w:val="ListParagraph"/>
        <w:numPr>
          <w:ilvl w:val="0"/>
          <w:numId w:val="6"/>
        </w:numPr>
        <w:spacing w:after="0" w:line="276" w:lineRule="auto"/>
      </w:pPr>
      <w:r w:rsidRPr="00C201B3">
        <w:rPr>
          <w:rFonts w:cstheme="minorHAnsi"/>
          <w:bCs/>
          <w:i/>
          <w:caps/>
          <w:color w:val="000000"/>
        </w:rPr>
        <w:t>NIH GUIDELINES FOR RESEARCH INVOLVING RECOMBINANT OR SYNTHETIC NUCLEIC ACID MOLECULES (NIH GUIDELINES)</w:t>
      </w:r>
      <w:r w:rsidRPr="00C201B3">
        <w:rPr>
          <w:rFonts w:cstheme="minorHAnsi"/>
          <w:bCs/>
          <w:caps/>
          <w:color w:val="000000"/>
        </w:rPr>
        <w:t xml:space="preserve">, April 2019. </w:t>
      </w:r>
      <w:r w:rsidRPr="00C201B3">
        <w:rPr>
          <w:rFonts w:cstheme="minorHAnsi"/>
          <w:bCs/>
          <w:color w:val="000000"/>
        </w:rPr>
        <w:t xml:space="preserve">DEPARTMENT OF HEALTH AND HUMAN SERVICES, </w:t>
      </w:r>
      <w:r w:rsidRPr="00C201B3">
        <w:rPr>
          <w:rFonts w:eastAsia="Times New Roman" w:cstheme="minorHAnsi"/>
          <w:bCs/>
          <w:color w:val="000000"/>
        </w:rPr>
        <w:t>National Institutes of Health</w:t>
      </w:r>
      <w:r w:rsidRPr="00C201B3">
        <w:rPr>
          <w:rFonts w:cstheme="minorHAnsi"/>
          <w:bCs/>
          <w:color w:val="000000"/>
        </w:rPr>
        <w:t xml:space="preserve">. </w:t>
      </w:r>
      <w:hyperlink r:id="rId9" w:history="1">
        <w:r w:rsidRPr="00C201B3">
          <w:rPr>
            <w:rStyle w:val="Hyperlink"/>
            <w:rFonts w:cstheme="minorHAnsi"/>
          </w:rPr>
          <w:t>https://osp.od.nih.gov/wp-content/uploads/NIH_Guidelines.html</w:t>
        </w:r>
      </w:hyperlink>
    </w:p>
    <w:p w14:paraId="495E5101" w14:textId="77777777" w:rsidR="00A83712" w:rsidRDefault="002D71CD" w:rsidP="00C201B3">
      <w:pPr>
        <w:pStyle w:val="ListParagraph"/>
        <w:numPr>
          <w:ilvl w:val="0"/>
          <w:numId w:val="6"/>
        </w:numPr>
        <w:spacing w:after="0" w:line="276" w:lineRule="auto"/>
      </w:pPr>
      <w:r w:rsidRPr="00C201B3">
        <w:rPr>
          <w:rFonts w:ascii="Segoe UI" w:hAnsi="Segoe UI" w:cs="Segoe UI"/>
          <w:sz w:val="20"/>
          <w:szCs w:val="20"/>
          <w:shd w:val="clear" w:color="auto" w:fill="FFFFFF"/>
        </w:rPr>
        <w:t>Fungal Diseases-</w:t>
      </w:r>
      <w:r w:rsidRPr="00C201B3">
        <w:rPr>
          <w:rFonts w:ascii="Segoe UI" w:hAnsi="Segoe UI" w:cs="Segoe UI"/>
          <w:i/>
          <w:sz w:val="20"/>
          <w:szCs w:val="20"/>
          <w:shd w:val="clear" w:color="auto" w:fill="FFFFFF"/>
        </w:rPr>
        <w:t xml:space="preserve">C. neoformans </w:t>
      </w:r>
      <w:r w:rsidRPr="00C201B3">
        <w:rPr>
          <w:rFonts w:ascii="Segoe UI" w:hAnsi="Segoe UI" w:cs="Segoe UI"/>
          <w:sz w:val="20"/>
          <w:szCs w:val="20"/>
          <w:shd w:val="clear" w:color="auto" w:fill="FFFFFF"/>
        </w:rPr>
        <w:t>Infection. (2019) Centers for Disease Control and Prevention, National Center for Emerging and Zoonotic Infectious Diseases (NCEZID), Division of Foodborne, Waterborne, and Environmental Diseases (DFWED)</w:t>
      </w:r>
      <w:r w:rsidRPr="002D71CD">
        <w:t xml:space="preserve"> </w:t>
      </w:r>
      <w:hyperlink r:id="rId10" w:history="1">
        <w:r>
          <w:rPr>
            <w:rStyle w:val="Hyperlink"/>
          </w:rPr>
          <w:t>https://www.cdc.gov/fungal/diseases/index.html</w:t>
        </w:r>
      </w:hyperlink>
    </w:p>
    <w:p w14:paraId="4256809C" w14:textId="77777777" w:rsidR="00C201B3" w:rsidRDefault="00C201B3" w:rsidP="00FB36DA">
      <w:pPr>
        <w:spacing w:after="0" w:line="276" w:lineRule="auto"/>
      </w:pPr>
    </w:p>
    <w:p w14:paraId="0B90B412" w14:textId="77777777" w:rsidR="00C201B3" w:rsidRPr="00CA5AC9" w:rsidRDefault="00C201B3" w:rsidP="00C201B3">
      <w:pPr>
        <w:spacing w:after="0" w:line="276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4958D062" w14:textId="77777777" w:rsidR="00C201B3" w:rsidRDefault="00C201B3" w:rsidP="00C201B3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Name of the Principal Investigator: ________________________________</w:t>
      </w:r>
      <w:r>
        <w:rPr>
          <w:u w:val="single"/>
        </w:rPr>
        <w:t xml:space="preserve">       </w:t>
      </w:r>
      <w:r>
        <w:t>______________</w:t>
      </w:r>
    </w:p>
    <w:p w14:paraId="6F3F2221" w14:textId="77777777" w:rsidR="00C201B3" w:rsidRDefault="00C201B3" w:rsidP="00C201B3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Applicable IBC protocol number(s) (approved or submitted): _____________________________</w:t>
      </w:r>
    </w:p>
    <w:p w14:paraId="640D46B8" w14:textId="77777777" w:rsidR="00C201B3" w:rsidRPr="001239FE" w:rsidRDefault="00C201B3" w:rsidP="00C201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List the laboratory locations (b</w:t>
      </w:r>
      <w:r w:rsidRPr="001239FE">
        <w:rPr>
          <w:rFonts w:cstheme="minorHAnsi"/>
        </w:rPr>
        <w:t xml:space="preserve">uilding/room[s]) for </w:t>
      </w:r>
      <w:r w:rsidRPr="00C201B3">
        <w:rPr>
          <w:i/>
        </w:rPr>
        <w:t>C. neoformans</w:t>
      </w:r>
      <w:r w:rsidRPr="001239FE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1239FE">
        <w:rPr>
          <w:rFonts w:cstheme="minorHAnsi"/>
        </w:rPr>
        <w:t>BSL2</w:t>
      </w:r>
      <w:r>
        <w:rPr>
          <w:rFonts w:cstheme="minorHAnsi"/>
        </w:rPr>
        <w:t xml:space="preserve"> agent</w:t>
      </w:r>
      <w:r w:rsidRPr="001239FE">
        <w:rPr>
          <w:rFonts w:cstheme="minorHAnsi"/>
        </w:rPr>
        <w:t>:</w:t>
      </w:r>
    </w:p>
    <w:p w14:paraId="6C5EEF10" w14:textId="77777777" w:rsidR="00C201B3" w:rsidRPr="00F26AE8" w:rsidRDefault="00C201B3" w:rsidP="00C201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26AE8">
        <w:rPr>
          <w:rFonts w:cstheme="minorHAnsi"/>
        </w:rPr>
        <w:t>Procedures:_________________________________ and Storage: _________________</w:t>
      </w:r>
      <w:r>
        <w:rPr>
          <w:rFonts w:cstheme="minorHAnsi"/>
        </w:rPr>
        <w:t>____</w:t>
      </w:r>
    </w:p>
    <w:p w14:paraId="11061A13" w14:textId="77777777" w:rsidR="00C201B3" w:rsidRDefault="00C201B3" w:rsidP="00C201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7713A">
        <w:rPr>
          <w:rFonts w:cstheme="minorHAnsi"/>
        </w:rPr>
        <w:t xml:space="preserve">If introducing </w:t>
      </w:r>
      <w:r w:rsidRPr="00C201B3">
        <w:rPr>
          <w:i/>
        </w:rPr>
        <w:t xml:space="preserve">C. neoformans </w:t>
      </w:r>
      <w:r>
        <w:t xml:space="preserve">or </w:t>
      </w:r>
      <w:r w:rsidRPr="00C201B3">
        <w:rPr>
          <w:i/>
        </w:rPr>
        <w:t>C. neoformans</w:t>
      </w:r>
      <w:r w:rsidRPr="0027713A">
        <w:rPr>
          <w:rFonts w:cstheme="minorHAnsi"/>
        </w:rPr>
        <w:t>-containing agents into animals, list the animal facility locations (building/room[s]) for these animals. ABSL2 containment is required. Confirm with ULAR that the rooms listed below are suitable for ABSL2 animals.</w:t>
      </w:r>
    </w:p>
    <w:p w14:paraId="3222F5B0" w14:textId="77777777" w:rsidR="00C201B3" w:rsidRPr="0027713A" w:rsidRDefault="00C201B3" w:rsidP="00C201B3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014495">
        <w:rPr>
          <w:rFonts w:cstheme="minorHAnsi"/>
        </w:rPr>
        <w:t>Procedures:_</w:t>
      </w:r>
      <w:proofErr w:type="gramEnd"/>
      <w:r w:rsidRPr="00014495">
        <w:rPr>
          <w:rFonts w:cstheme="minorHAnsi"/>
        </w:rPr>
        <w:t>________________________________ and Housing:_____________________</w:t>
      </w:r>
    </w:p>
    <w:p w14:paraId="02382FEB" w14:textId="77777777" w:rsidR="00C201B3" w:rsidRPr="00CA5AC9" w:rsidRDefault="00C201B3" w:rsidP="00C201B3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Date of Agent Summary form completion: ___________________</w:t>
      </w:r>
    </w:p>
    <w:p w14:paraId="4092E8B8" w14:textId="3D719A7F" w:rsidR="00C201B3" w:rsidRDefault="00C201B3" w:rsidP="00C201B3">
      <w:pPr>
        <w:spacing w:after="0" w:line="276" w:lineRule="auto"/>
        <w:ind w:left="8640" w:firstLine="720"/>
      </w:pPr>
    </w:p>
    <w:sectPr w:rsidR="00C201B3" w:rsidSect="00C201B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84E9" w14:textId="77777777" w:rsidR="00F22576" w:rsidRDefault="00F22576" w:rsidP="00C201B3">
      <w:pPr>
        <w:spacing w:after="0" w:line="240" w:lineRule="auto"/>
      </w:pPr>
      <w:r>
        <w:separator/>
      </w:r>
    </w:p>
  </w:endnote>
  <w:endnote w:type="continuationSeparator" w:id="0">
    <w:p w14:paraId="0BA7198D" w14:textId="77777777" w:rsidR="00F22576" w:rsidRDefault="00F22576" w:rsidP="00C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06D7" w14:textId="77777777" w:rsidR="00F22576" w:rsidRDefault="00F22576" w:rsidP="00C201B3">
      <w:pPr>
        <w:spacing w:after="0" w:line="240" w:lineRule="auto"/>
      </w:pPr>
      <w:r>
        <w:separator/>
      </w:r>
    </w:p>
  </w:footnote>
  <w:footnote w:type="continuationSeparator" w:id="0">
    <w:p w14:paraId="513E53DB" w14:textId="77777777" w:rsidR="00F22576" w:rsidRDefault="00F22576" w:rsidP="00C2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B0E" w14:textId="77777777" w:rsidR="00C201B3" w:rsidRPr="00643D6F" w:rsidRDefault="00C201B3" w:rsidP="00C201B3">
    <w:pPr>
      <w:spacing w:after="0" w:line="276" w:lineRule="auto"/>
      <w:jc w:val="center"/>
      <w:rPr>
        <w:b/>
        <w:sz w:val="24"/>
        <w:szCs w:val="24"/>
      </w:rPr>
    </w:pPr>
    <w:r w:rsidRPr="00643D6F">
      <w:rPr>
        <w:b/>
        <w:sz w:val="24"/>
        <w:szCs w:val="24"/>
      </w:rPr>
      <w:t>Agent Summary-</w:t>
    </w:r>
    <w:r w:rsidRPr="00643D6F">
      <w:rPr>
        <w:b/>
        <w:i/>
        <w:sz w:val="24"/>
        <w:szCs w:val="24"/>
      </w:rPr>
      <w:t>Cryptococcus neoformans</w:t>
    </w:r>
  </w:p>
  <w:p w14:paraId="4A7F139D" w14:textId="77777777" w:rsidR="00C201B3" w:rsidRDefault="00C2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0A1"/>
    <w:multiLevelType w:val="hybridMultilevel"/>
    <w:tmpl w:val="223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3C34"/>
    <w:multiLevelType w:val="hybridMultilevel"/>
    <w:tmpl w:val="9604817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C0D0A"/>
    <w:multiLevelType w:val="hybridMultilevel"/>
    <w:tmpl w:val="BF06CE9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7EF"/>
    <w:multiLevelType w:val="hybridMultilevel"/>
    <w:tmpl w:val="B112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70C4"/>
    <w:multiLevelType w:val="hybridMultilevel"/>
    <w:tmpl w:val="B71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7878">
    <w:abstractNumId w:val="5"/>
  </w:num>
  <w:num w:numId="2" w16cid:durableId="512956300">
    <w:abstractNumId w:val="4"/>
  </w:num>
  <w:num w:numId="3" w16cid:durableId="1745102244">
    <w:abstractNumId w:val="3"/>
  </w:num>
  <w:num w:numId="4" w16cid:durableId="82845684">
    <w:abstractNumId w:val="0"/>
  </w:num>
  <w:num w:numId="5" w16cid:durableId="1859465904">
    <w:abstractNumId w:val="2"/>
  </w:num>
  <w:num w:numId="6" w16cid:durableId="1481118140">
    <w:abstractNumId w:val="1"/>
  </w:num>
  <w:num w:numId="7" w16cid:durableId="420953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1F"/>
    <w:rsid w:val="00072605"/>
    <w:rsid w:val="001F0F25"/>
    <w:rsid w:val="00202F3A"/>
    <w:rsid w:val="002D71CD"/>
    <w:rsid w:val="00313670"/>
    <w:rsid w:val="0037619A"/>
    <w:rsid w:val="003D51AC"/>
    <w:rsid w:val="004B0B8C"/>
    <w:rsid w:val="005019A8"/>
    <w:rsid w:val="005A3468"/>
    <w:rsid w:val="00643D6F"/>
    <w:rsid w:val="008051B7"/>
    <w:rsid w:val="008F3C3E"/>
    <w:rsid w:val="00905815"/>
    <w:rsid w:val="00A83712"/>
    <w:rsid w:val="00AB23CE"/>
    <w:rsid w:val="00AF794B"/>
    <w:rsid w:val="00B658CF"/>
    <w:rsid w:val="00C04B9B"/>
    <w:rsid w:val="00C201B3"/>
    <w:rsid w:val="00C53B5E"/>
    <w:rsid w:val="00D66E6D"/>
    <w:rsid w:val="00E94C1F"/>
    <w:rsid w:val="00EA42EC"/>
    <w:rsid w:val="00F10496"/>
    <w:rsid w:val="00F22576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ACB6"/>
  <w15:chartTrackingRefBased/>
  <w15:docId w15:val="{13C53133-9693-4CBA-82FA-4D6ADD1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6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7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B3"/>
  </w:style>
  <w:style w:type="paragraph" w:styleId="Footer">
    <w:name w:val="footer"/>
    <w:basedOn w:val="Normal"/>
    <w:link w:val="FooterChar"/>
    <w:uiPriority w:val="99"/>
    <w:unhideWhenUsed/>
    <w:rsid w:val="00C2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pdf/CDC-BiosafetyMicrobiologicalBiomedicalLaboratories-2020-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laboratory-biosafety-biosecurity/pathogen-safety-data-sheets-risk-assessment/cryptococcus-neoforma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fungal/diseas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NIH_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4</cp:revision>
  <dcterms:created xsi:type="dcterms:W3CDTF">2019-12-17T14:08:00Z</dcterms:created>
  <dcterms:modified xsi:type="dcterms:W3CDTF">2023-10-23T18:35:00Z</dcterms:modified>
</cp:coreProperties>
</file>