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001A" w14:textId="77777777" w:rsidR="00831E95" w:rsidRPr="00831E95" w:rsidRDefault="00831E95" w:rsidP="00831E95">
      <w:pPr>
        <w:jc w:val="center"/>
        <w:rPr>
          <w:rFonts w:cstheme="minorHAnsi"/>
          <w:b/>
          <w:sz w:val="26"/>
          <w:szCs w:val="26"/>
        </w:rPr>
      </w:pPr>
      <w:r w:rsidRPr="00831E95">
        <w:rPr>
          <w:rFonts w:cstheme="minorHAnsi"/>
          <w:b/>
          <w:sz w:val="26"/>
          <w:szCs w:val="26"/>
        </w:rPr>
        <w:t xml:space="preserve">Agent Summary: Bloodborne Pathogens and </w:t>
      </w:r>
      <w:r w:rsidR="00821C3E">
        <w:rPr>
          <w:rFonts w:cstheme="minorHAnsi"/>
          <w:b/>
          <w:sz w:val="26"/>
          <w:szCs w:val="26"/>
        </w:rPr>
        <w:t>O</w:t>
      </w:r>
      <w:r w:rsidRPr="00831E95">
        <w:rPr>
          <w:rFonts w:cstheme="minorHAnsi"/>
          <w:b/>
          <w:sz w:val="26"/>
          <w:szCs w:val="26"/>
        </w:rPr>
        <w:t xml:space="preserve">ther </w:t>
      </w:r>
      <w:r w:rsidR="00821C3E">
        <w:rPr>
          <w:rFonts w:cstheme="minorHAnsi"/>
          <w:b/>
          <w:sz w:val="26"/>
          <w:szCs w:val="26"/>
        </w:rPr>
        <w:t>P</w:t>
      </w:r>
      <w:r w:rsidRPr="00831E95">
        <w:rPr>
          <w:rFonts w:cstheme="minorHAnsi"/>
          <w:b/>
          <w:sz w:val="26"/>
          <w:szCs w:val="26"/>
        </w:rPr>
        <w:t xml:space="preserve">otentially </w:t>
      </w:r>
      <w:r w:rsidR="00821C3E">
        <w:rPr>
          <w:rFonts w:cstheme="minorHAnsi"/>
          <w:b/>
          <w:sz w:val="26"/>
          <w:szCs w:val="26"/>
        </w:rPr>
        <w:t>I</w:t>
      </w:r>
      <w:r w:rsidRPr="00831E95">
        <w:rPr>
          <w:rFonts w:cstheme="minorHAnsi"/>
          <w:b/>
          <w:sz w:val="26"/>
          <w:szCs w:val="26"/>
        </w:rPr>
        <w:t>nfecti</w:t>
      </w:r>
      <w:r w:rsidR="00821C3E">
        <w:rPr>
          <w:rFonts w:cstheme="minorHAnsi"/>
          <w:b/>
          <w:sz w:val="26"/>
          <w:szCs w:val="26"/>
        </w:rPr>
        <w:t>ous M</w:t>
      </w:r>
      <w:r w:rsidRPr="00831E95">
        <w:rPr>
          <w:rFonts w:cstheme="minorHAnsi"/>
          <w:b/>
          <w:sz w:val="26"/>
          <w:szCs w:val="26"/>
        </w:rPr>
        <w:t>aterials</w:t>
      </w:r>
    </w:p>
    <w:p w14:paraId="4846C62D" w14:textId="77777777" w:rsidR="00821C3E" w:rsidRDefault="00821C3E" w:rsidP="007A16CA">
      <w:pPr>
        <w:spacing w:after="0" w:line="276" w:lineRule="auto"/>
        <w:rPr>
          <w:rFonts w:cstheme="minorHAnsi"/>
          <w:b/>
        </w:rPr>
      </w:pPr>
    </w:p>
    <w:p w14:paraId="5E2D994B" w14:textId="77777777" w:rsidR="00D02E2F" w:rsidRPr="007A16CA" w:rsidRDefault="00D02E2F" w:rsidP="007A16CA">
      <w:pPr>
        <w:spacing w:after="0" w:line="276" w:lineRule="auto"/>
        <w:rPr>
          <w:rFonts w:cstheme="minorHAnsi"/>
          <w:b/>
        </w:rPr>
      </w:pPr>
      <w:r w:rsidRPr="00D02E2F">
        <w:rPr>
          <w:rFonts w:cstheme="minorHAnsi"/>
          <w:b/>
        </w:rPr>
        <w:t>Agent Information</w:t>
      </w:r>
    </w:p>
    <w:p w14:paraId="165EB022" w14:textId="77777777" w:rsidR="0091128E" w:rsidRPr="00A269C1" w:rsidRDefault="0091128E" w:rsidP="004F0FF8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A269C1">
        <w:rPr>
          <w:rFonts w:cstheme="minorHAnsi"/>
        </w:rPr>
        <w:t>Bloo</w:t>
      </w:r>
      <w:r w:rsidR="00B47C79" w:rsidRPr="00A269C1">
        <w:rPr>
          <w:rFonts w:cstheme="minorHAnsi"/>
        </w:rPr>
        <w:t>d</w:t>
      </w:r>
      <w:r w:rsidRPr="00A269C1">
        <w:rPr>
          <w:rFonts w:cstheme="minorHAnsi"/>
        </w:rPr>
        <w:t>borne pathogens</w:t>
      </w:r>
      <w:r w:rsidR="00A269C1" w:rsidRPr="00A269C1">
        <w:rPr>
          <w:rFonts w:cstheme="minorHAnsi"/>
        </w:rPr>
        <w:t xml:space="preserve"> (BBP) </w:t>
      </w:r>
      <w:r w:rsidRPr="00A269C1">
        <w:rPr>
          <w:rFonts w:cstheme="minorHAnsi"/>
        </w:rPr>
        <w:t>are pathogenic organisms that are present in human blood</w:t>
      </w:r>
      <w:r w:rsidR="00D72914" w:rsidRPr="00A269C1">
        <w:rPr>
          <w:rFonts w:cstheme="minorHAnsi"/>
        </w:rPr>
        <w:t xml:space="preserve"> (or its components)</w:t>
      </w:r>
      <w:r w:rsidRPr="00A269C1">
        <w:rPr>
          <w:rFonts w:cstheme="minorHAnsi"/>
        </w:rPr>
        <w:t xml:space="preserve"> and can cause disease in humans, including but not limited to human immunodeficiency virus (HIV)</w:t>
      </w:r>
      <w:r w:rsidR="00A269C1" w:rsidRPr="00A269C1">
        <w:rPr>
          <w:rFonts w:cstheme="minorHAnsi"/>
        </w:rPr>
        <w:t>,</w:t>
      </w:r>
      <w:r w:rsidRPr="00A269C1">
        <w:rPr>
          <w:rFonts w:cstheme="minorHAnsi"/>
        </w:rPr>
        <w:t xml:space="preserve"> hepatitis B virus (HBV)</w:t>
      </w:r>
      <w:r w:rsidR="00A269C1" w:rsidRPr="00A269C1">
        <w:rPr>
          <w:rFonts w:cstheme="minorHAnsi"/>
        </w:rPr>
        <w:t>, hepatitis B virus (</w:t>
      </w:r>
      <w:r w:rsidR="003D149A" w:rsidRPr="00A269C1">
        <w:rPr>
          <w:rFonts w:cstheme="minorHAnsi"/>
        </w:rPr>
        <w:t>HCV</w:t>
      </w:r>
      <w:r w:rsidR="00A269C1" w:rsidRPr="00A269C1">
        <w:rPr>
          <w:rFonts w:cstheme="minorHAnsi"/>
        </w:rPr>
        <w:t>)</w:t>
      </w:r>
      <w:r w:rsidR="003D149A" w:rsidRPr="00A269C1">
        <w:rPr>
          <w:rFonts w:cstheme="minorHAnsi"/>
        </w:rPr>
        <w:t xml:space="preserve">, </w:t>
      </w:r>
      <w:r w:rsidR="00A269C1" w:rsidRPr="00A269C1">
        <w:rPr>
          <w:rFonts w:cstheme="minorHAnsi"/>
          <w:color w:val="222222"/>
          <w:shd w:val="clear" w:color="auto" w:fill="FFFFFF"/>
        </w:rPr>
        <w:t>human papillomavirus</w:t>
      </w:r>
      <w:r w:rsidR="00A269C1" w:rsidRPr="00A269C1">
        <w:rPr>
          <w:rFonts w:cstheme="minorHAnsi"/>
        </w:rPr>
        <w:t xml:space="preserve"> (</w:t>
      </w:r>
      <w:r w:rsidR="003D149A" w:rsidRPr="00A269C1">
        <w:rPr>
          <w:rFonts w:cstheme="minorHAnsi"/>
        </w:rPr>
        <w:t>HPV</w:t>
      </w:r>
      <w:r w:rsidR="00A269C1" w:rsidRPr="00A269C1">
        <w:rPr>
          <w:rFonts w:cstheme="minorHAnsi"/>
        </w:rPr>
        <w:t>)</w:t>
      </w:r>
      <w:r w:rsidR="003D149A" w:rsidRPr="00A269C1">
        <w:rPr>
          <w:rFonts w:cstheme="minorHAnsi"/>
        </w:rPr>
        <w:t xml:space="preserve">, </w:t>
      </w:r>
      <w:r w:rsidR="00A269C1" w:rsidRPr="00A269C1">
        <w:rPr>
          <w:rFonts w:cstheme="minorHAnsi"/>
        </w:rPr>
        <w:t>cytomegalovirus (</w:t>
      </w:r>
      <w:r w:rsidR="003D149A" w:rsidRPr="00A269C1">
        <w:rPr>
          <w:rFonts w:cstheme="minorHAnsi"/>
        </w:rPr>
        <w:t>CMV</w:t>
      </w:r>
      <w:r w:rsidR="00A269C1" w:rsidRPr="00A269C1">
        <w:rPr>
          <w:rFonts w:cstheme="minorHAnsi"/>
        </w:rPr>
        <w:t>)</w:t>
      </w:r>
      <w:r w:rsidR="003D149A" w:rsidRPr="00A269C1">
        <w:rPr>
          <w:rFonts w:cstheme="minorHAnsi"/>
        </w:rPr>
        <w:t xml:space="preserve">, </w:t>
      </w:r>
      <w:r w:rsidR="00A269C1" w:rsidRPr="00A269C1">
        <w:rPr>
          <w:rFonts w:cstheme="minorHAnsi"/>
          <w:color w:val="222222"/>
          <w:shd w:val="clear" w:color="auto" w:fill="FFFFFF"/>
        </w:rPr>
        <w:t>human T-cell lymphotropic virus</w:t>
      </w:r>
      <w:r w:rsidR="00A269C1" w:rsidRPr="00A269C1">
        <w:rPr>
          <w:rFonts w:cstheme="minorHAnsi"/>
        </w:rPr>
        <w:t xml:space="preserve"> (</w:t>
      </w:r>
      <w:r w:rsidR="003D149A" w:rsidRPr="00A269C1">
        <w:rPr>
          <w:rFonts w:cstheme="minorHAnsi"/>
        </w:rPr>
        <w:t>HTLV</w:t>
      </w:r>
      <w:r w:rsidR="00A269C1" w:rsidRPr="00A269C1">
        <w:rPr>
          <w:rFonts w:cstheme="minorHAnsi"/>
        </w:rPr>
        <w:t>)</w:t>
      </w:r>
      <w:r w:rsidR="003D149A" w:rsidRPr="00A269C1">
        <w:rPr>
          <w:rFonts w:cstheme="minorHAnsi"/>
        </w:rPr>
        <w:t xml:space="preserve">, </w:t>
      </w:r>
      <w:r w:rsidR="00A269C1" w:rsidRPr="00A269C1">
        <w:rPr>
          <w:rFonts w:cstheme="minorHAnsi"/>
          <w:bCs/>
          <w:color w:val="222222"/>
          <w:shd w:val="clear" w:color="auto" w:fill="FFFFFF"/>
        </w:rPr>
        <w:t>Epstein-Barr virus</w:t>
      </w:r>
      <w:r w:rsidR="00A269C1" w:rsidRPr="00A269C1">
        <w:rPr>
          <w:rFonts w:cstheme="minorHAnsi"/>
        </w:rPr>
        <w:t xml:space="preserve"> (</w:t>
      </w:r>
      <w:r w:rsidR="003D149A" w:rsidRPr="00A269C1">
        <w:rPr>
          <w:rFonts w:cstheme="minorHAnsi"/>
        </w:rPr>
        <w:t>EBV</w:t>
      </w:r>
      <w:r w:rsidR="00A269C1" w:rsidRPr="00A269C1">
        <w:rPr>
          <w:rFonts w:cstheme="minorHAnsi"/>
        </w:rPr>
        <w:t>)</w:t>
      </w:r>
      <w:r w:rsidR="003D149A" w:rsidRPr="00A269C1">
        <w:rPr>
          <w:rFonts w:cstheme="minorHAnsi"/>
        </w:rPr>
        <w:t xml:space="preserve"> and </w:t>
      </w:r>
      <w:r w:rsidR="003D149A" w:rsidRPr="00A269C1">
        <w:rPr>
          <w:rFonts w:cstheme="minorHAnsi"/>
          <w:i/>
          <w:iCs/>
        </w:rPr>
        <w:t>Mycobacterium tuberculosis</w:t>
      </w:r>
      <w:r w:rsidR="003D149A" w:rsidRPr="00A269C1">
        <w:rPr>
          <w:rFonts w:cstheme="minorHAnsi"/>
          <w:iCs/>
        </w:rPr>
        <w:t xml:space="preserve"> (in lung tissue).</w:t>
      </w:r>
    </w:p>
    <w:p w14:paraId="4997D2AE" w14:textId="77777777" w:rsidR="00F509BB" w:rsidRPr="003D149A" w:rsidRDefault="00AD5A87" w:rsidP="004F0FF8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potentially infectious material (OPIM), are agents that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3D149A" w:rsidRPr="003D149A">
        <w:rPr>
          <w:rFonts w:asciiTheme="minorHAnsi" w:hAnsiTheme="minorHAnsi" w:cstheme="minorHAnsi"/>
          <w:iCs/>
          <w:color w:val="auto"/>
          <w:sz w:val="22"/>
          <w:szCs w:val="22"/>
        </w:rPr>
        <w:t>may</w:t>
      </w:r>
      <w:r w:rsidR="00F509BB" w:rsidRPr="003D149A">
        <w:rPr>
          <w:rFonts w:asciiTheme="minorHAnsi" w:hAnsiTheme="minorHAnsi" w:cstheme="minorHAnsi"/>
          <w:color w:val="auto"/>
          <w:sz w:val="22"/>
          <w:szCs w:val="22"/>
        </w:rPr>
        <w:t xml:space="preserve"> harbor blood</w:t>
      </w:r>
      <w:r w:rsidR="003D149A">
        <w:rPr>
          <w:rFonts w:asciiTheme="minorHAnsi" w:hAnsiTheme="minorHAnsi" w:cstheme="minorHAnsi"/>
          <w:color w:val="auto"/>
          <w:sz w:val="22"/>
          <w:szCs w:val="22"/>
        </w:rPr>
        <w:t>borne pathogens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D149A">
        <w:rPr>
          <w:rFonts w:asciiTheme="minorHAnsi" w:hAnsiTheme="minorHAnsi" w:cstheme="minorHAnsi"/>
          <w:color w:val="auto"/>
          <w:sz w:val="22"/>
          <w:szCs w:val="22"/>
        </w:rPr>
        <w:t xml:space="preserve"> including:</w:t>
      </w:r>
    </w:p>
    <w:p w14:paraId="607A3E3E" w14:textId="77777777" w:rsidR="002C4F3A" w:rsidRDefault="00AD5A87" w:rsidP="0083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h</w:t>
      </w:r>
      <w:r w:rsidR="002070DF" w:rsidRPr="003D149A">
        <w:rPr>
          <w:rFonts w:cstheme="minorHAnsi"/>
        </w:rPr>
        <w:t>uman body fluids: semen, vaginal secretions, cerebrospinal fluid, synovial fluid, pleural fluid, pericardial fluid, peritoneal fluid, amniotic flui</w:t>
      </w:r>
      <w:r w:rsidR="004F0FF8" w:rsidRPr="003D149A">
        <w:rPr>
          <w:rFonts w:cstheme="minorHAnsi"/>
        </w:rPr>
        <w:t>d, saliva in dental</w:t>
      </w:r>
      <w:r w:rsidR="004F0FF8" w:rsidRPr="002C4F3A">
        <w:rPr>
          <w:rFonts w:cstheme="minorHAnsi"/>
        </w:rPr>
        <w:t xml:space="preserve"> procedures</w:t>
      </w:r>
    </w:p>
    <w:p w14:paraId="4CB2B2FB" w14:textId="77777777" w:rsidR="002070DF" w:rsidRPr="002C4F3A" w:rsidRDefault="00AD5A87" w:rsidP="00831E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a</w:t>
      </w:r>
      <w:r w:rsidR="002070DF" w:rsidRPr="002C4F3A">
        <w:rPr>
          <w:rFonts w:cstheme="minorHAnsi"/>
        </w:rPr>
        <w:t>ny</w:t>
      </w:r>
      <w:r w:rsidR="00066402" w:rsidRPr="002C4F3A">
        <w:rPr>
          <w:rFonts w:cstheme="minorHAnsi"/>
        </w:rPr>
        <w:t xml:space="preserve"> human</w:t>
      </w:r>
      <w:r w:rsidR="002070DF" w:rsidRPr="002C4F3A">
        <w:rPr>
          <w:rFonts w:cstheme="minorHAnsi"/>
        </w:rPr>
        <w:t xml:space="preserve"> body fluid that is visibly contaminated with blood, and all body fluids in situations where it is difficult or impossible to di</w:t>
      </w:r>
      <w:r w:rsidR="00EA4171" w:rsidRPr="002C4F3A">
        <w:rPr>
          <w:rFonts w:cstheme="minorHAnsi"/>
        </w:rPr>
        <w:t>fferentiate between body fluids</w:t>
      </w:r>
    </w:p>
    <w:p w14:paraId="7E891495" w14:textId="77777777" w:rsidR="002070DF" w:rsidRPr="00385463" w:rsidRDefault="00AD5A87" w:rsidP="00831E95">
      <w:pPr>
        <w:pStyle w:val="Default"/>
        <w:numPr>
          <w:ilvl w:val="0"/>
          <w:numId w:val="4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070DF" w:rsidRPr="00385463">
        <w:rPr>
          <w:rFonts w:asciiTheme="minorHAnsi" w:hAnsiTheme="minorHAnsi" w:cstheme="minorHAnsi"/>
          <w:color w:val="auto"/>
          <w:sz w:val="22"/>
          <w:szCs w:val="22"/>
        </w:rPr>
        <w:t>ny unfixed tissue or organ (other than intact skin) fr</w:t>
      </w:r>
      <w:r w:rsidR="00EA4171" w:rsidRPr="00385463">
        <w:rPr>
          <w:rFonts w:asciiTheme="minorHAnsi" w:hAnsiTheme="minorHAnsi" w:cstheme="minorHAnsi"/>
          <w:color w:val="auto"/>
          <w:sz w:val="22"/>
          <w:szCs w:val="22"/>
        </w:rPr>
        <w:t>om a human (living or dead)</w:t>
      </w:r>
    </w:p>
    <w:p w14:paraId="6BE78A51" w14:textId="77777777" w:rsidR="00385463" w:rsidRPr="00385463" w:rsidRDefault="00AD5A87" w:rsidP="00831E95">
      <w:pPr>
        <w:pStyle w:val="Default"/>
        <w:numPr>
          <w:ilvl w:val="0"/>
          <w:numId w:val="4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</w:t>
      </w:r>
      <w:r w:rsidR="00385463" w:rsidRPr="003854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ll primary human cell </w:t>
      </w:r>
      <w:r w:rsidR="00385463" w:rsidRPr="0038546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explants</w:t>
      </w:r>
      <w:r w:rsidR="00385463" w:rsidRPr="003854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from tissues and </w:t>
      </w:r>
      <w:r w:rsidR="00385463" w:rsidRPr="0038546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subsequent in vitro</w:t>
      </w:r>
      <w:r w:rsidR="00385463" w:rsidRPr="003854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 passages of human tissue explant cultures</w:t>
      </w:r>
      <w:r w:rsidR="0038546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(i.e., all human primary and cu</w:t>
      </w:r>
      <w:r w:rsidR="00831E9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ltured/immortalized cell lines)</w:t>
      </w:r>
    </w:p>
    <w:p w14:paraId="2CB23EBC" w14:textId="77777777" w:rsidR="004F0FF8" w:rsidRPr="00385463" w:rsidRDefault="00831E95" w:rsidP="00831E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BBP</w:t>
      </w:r>
      <w:r w:rsidR="002070DF" w:rsidRPr="00385463">
        <w:rPr>
          <w:rFonts w:cstheme="minorHAnsi"/>
        </w:rPr>
        <w:t xml:space="preserve">-containing cell or tissue cultures, organ cultures, and </w:t>
      </w:r>
      <w:r>
        <w:rPr>
          <w:rFonts w:cstheme="minorHAnsi"/>
        </w:rPr>
        <w:t>BBP</w:t>
      </w:r>
      <w:r w:rsidR="002070DF" w:rsidRPr="00385463">
        <w:rPr>
          <w:rFonts w:cstheme="minorHAnsi"/>
        </w:rPr>
        <w:t>-containing culture</w:t>
      </w:r>
      <w:r w:rsidR="004F0FF8" w:rsidRPr="00385463">
        <w:rPr>
          <w:rFonts w:cstheme="minorHAnsi"/>
        </w:rPr>
        <w:t xml:space="preserve"> medium or other solutions</w:t>
      </w:r>
    </w:p>
    <w:p w14:paraId="4D1D8F22" w14:textId="77777777" w:rsidR="002070DF" w:rsidRPr="00385463" w:rsidRDefault="00AD5A87" w:rsidP="00831E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>b</w:t>
      </w:r>
      <w:r w:rsidR="002070DF" w:rsidRPr="00385463">
        <w:rPr>
          <w:rFonts w:cstheme="minorHAnsi"/>
        </w:rPr>
        <w:t xml:space="preserve">lood, organs, or other tissues from experimental animals infected with </w:t>
      </w:r>
      <w:r w:rsidR="00831E95">
        <w:rPr>
          <w:rFonts w:cstheme="minorHAnsi"/>
        </w:rPr>
        <w:t>BBP</w:t>
      </w:r>
      <w:r w:rsidR="00066402" w:rsidRPr="00385463">
        <w:rPr>
          <w:rFonts w:cstheme="minorHAnsi"/>
        </w:rPr>
        <w:t xml:space="preserve"> (e.g., hu</w:t>
      </w:r>
      <w:r w:rsidR="00D72914" w:rsidRPr="00385463">
        <w:rPr>
          <w:rFonts w:cstheme="minorHAnsi"/>
        </w:rPr>
        <w:t xml:space="preserve">manized mice infected with HIV) or </w:t>
      </w:r>
      <w:r w:rsidR="00A6523C">
        <w:rPr>
          <w:rFonts w:cstheme="minorHAnsi"/>
        </w:rPr>
        <w:t xml:space="preserve">experimental animals into which other </w:t>
      </w:r>
      <w:r w:rsidR="00D72914" w:rsidRPr="00385463">
        <w:rPr>
          <w:rFonts w:cstheme="minorHAnsi"/>
        </w:rPr>
        <w:t>BBP</w:t>
      </w:r>
      <w:r w:rsidR="00A6523C">
        <w:rPr>
          <w:rFonts w:cstheme="minorHAnsi"/>
        </w:rPr>
        <w:t xml:space="preserve"> or OPIM have been introduced, including human</w:t>
      </w:r>
      <w:r w:rsidR="00CB5823">
        <w:rPr>
          <w:rFonts w:cstheme="minorHAnsi"/>
        </w:rPr>
        <w:t>-derived</w:t>
      </w:r>
      <w:r w:rsidR="00A6523C">
        <w:rPr>
          <w:rFonts w:cstheme="minorHAnsi"/>
        </w:rPr>
        <w:t xml:space="preserve"> cells or subcellular components</w:t>
      </w:r>
    </w:p>
    <w:p w14:paraId="0208E738" w14:textId="77777777" w:rsidR="004F0FF8" w:rsidRPr="00D02E2F" w:rsidRDefault="00EA4171" w:rsidP="004F0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02E2F">
        <w:rPr>
          <w:rFonts w:cstheme="minorHAnsi"/>
        </w:rPr>
        <w:t>Non</w:t>
      </w:r>
      <w:r w:rsidR="004F0FF8" w:rsidRPr="00D02E2F">
        <w:rPr>
          <w:rFonts w:cstheme="minorHAnsi"/>
        </w:rPr>
        <w:t>human primate-derived material</w:t>
      </w:r>
      <w:r w:rsidR="002F73C4" w:rsidRPr="00D02E2F">
        <w:rPr>
          <w:rFonts w:cstheme="minorHAnsi"/>
        </w:rPr>
        <w:t>s</w:t>
      </w:r>
      <w:r w:rsidR="000B20B2" w:rsidRPr="00D02E2F">
        <w:rPr>
          <w:rFonts w:cstheme="minorHAnsi"/>
        </w:rPr>
        <w:t xml:space="preserve">, </w:t>
      </w:r>
      <w:r w:rsidR="002A46D3">
        <w:rPr>
          <w:rFonts w:cstheme="minorHAnsi"/>
        </w:rPr>
        <w:t xml:space="preserve">such </w:t>
      </w:r>
      <w:r w:rsidR="000B20B2" w:rsidRPr="00D02E2F">
        <w:rPr>
          <w:rFonts w:cstheme="minorHAnsi"/>
        </w:rPr>
        <w:t xml:space="preserve">as </w:t>
      </w:r>
      <w:r w:rsidR="003D149A">
        <w:rPr>
          <w:rFonts w:cstheme="minorHAnsi"/>
        </w:rPr>
        <w:t>th</w:t>
      </w:r>
      <w:r w:rsidR="00D72914">
        <w:rPr>
          <w:rFonts w:cstheme="minorHAnsi"/>
        </w:rPr>
        <w:t xml:space="preserve">ose </w:t>
      </w:r>
      <w:r w:rsidR="000B20B2" w:rsidRPr="00D02E2F">
        <w:rPr>
          <w:rFonts w:cstheme="minorHAnsi"/>
        </w:rPr>
        <w:t>described above for humans,</w:t>
      </w:r>
      <w:r w:rsidR="004F0FF8" w:rsidRPr="00D02E2F">
        <w:rPr>
          <w:rFonts w:cstheme="minorHAnsi"/>
        </w:rPr>
        <w:t xml:space="preserve"> may </w:t>
      </w:r>
      <w:r w:rsidR="002F73C4" w:rsidRPr="00D02E2F">
        <w:rPr>
          <w:rFonts w:cstheme="minorHAnsi"/>
        </w:rPr>
        <w:t xml:space="preserve">also be considered to be </w:t>
      </w:r>
      <w:r w:rsidR="004F0FF8" w:rsidRPr="00D02E2F">
        <w:rPr>
          <w:rFonts w:cstheme="minorHAnsi"/>
        </w:rPr>
        <w:t xml:space="preserve">OPIM </w:t>
      </w:r>
      <w:r w:rsidR="002F73C4" w:rsidRPr="00D02E2F">
        <w:rPr>
          <w:rFonts w:cstheme="minorHAnsi"/>
        </w:rPr>
        <w:t>because they may harbor agents that can</w:t>
      </w:r>
      <w:r w:rsidR="000B20B2" w:rsidRPr="00D02E2F">
        <w:rPr>
          <w:rFonts w:cstheme="minorHAnsi"/>
        </w:rPr>
        <w:t xml:space="preserve"> infect humans.</w:t>
      </w:r>
    </w:p>
    <w:p w14:paraId="2A9AF6FC" w14:textId="77777777" w:rsidR="002F73C4" w:rsidRPr="003D149A" w:rsidRDefault="002C4F3A" w:rsidP="004F0F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D149A">
        <w:rPr>
          <w:shd w:val="clear" w:color="auto" w:fill="FFFFFF"/>
        </w:rPr>
        <w:t>Workers may be exposed to b</w:t>
      </w:r>
      <w:r w:rsidR="000B20B2" w:rsidRPr="003D149A">
        <w:rPr>
          <w:shd w:val="clear" w:color="auto" w:fill="FFFFFF"/>
        </w:rPr>
        <w:t>loodborne pathogen</w:t>
      </w:r>
      <w:r w:rsidRPr="003D149A">
        <w:rPr>
          <w:shd w:val="clear" w:color="auto" w:fill="FFFFFF"/>
        </w:rPr>
        <w:t>s through routine handling or manipulation of primary or immortalized human cell lines or</w:t>
      </w:r>
      <w:r w:rsidR="000B20B2" w:rsidRPr="003D149A">
        <w:rPr>
          <w:shd w:val="clear" w:color="auto" w:fill="FFFFFF"/>
        </w:rPr>
        <w:t xml:space="preserve"> direct exposure to blood or body fluids by any route including needle inoculation, animal bites and scratches, splashes, accidental ingestion, mucous membrane contamination, contaminated caging and equipment, or infectious aerosols.</w:t>
      </w:r>
    </w:p>
    <w:p w14:paraId="1601D866" w14:textId="77777777" w:rsidR="00EA4171" w:rsidRDefault="00EA4171" w:rsidP="00EA4171">
      <w:pPr>
        <w:pStyle w:val="ListParagraph"/>
        <w:numPr>
          <w:ilvl w:val="0"/>
          <w:numId w:val="6"/>
        </w:numPr>
        <w:rPr>
          <w:rFonts w:cstheme="minorHAnsi"/>
        </w:rPr>
      </w:pPr>
      <w:r w:rsidRPr="00D02E2F">
        <w:rPr>
          <w:rFonts w:cstheme="minorHAnsi"/>
        </w:rPr>
        <w:t>All of the agents described above require</w:t>
      </w:r>
      <w:r w:rsidR="001B0057">
        <w:rPr>
          <w:rFonts w:cstheme="minorHAnsi"/>
        </w:rPr>
        <w:t>, at minimum,</w:t>
      </w:r>
      <w:r w:rsidRPr="00D02E2F">
        <w:rPr>
          <w:rFonts w:cstheme="minorHAnsi"/>
        </w:rPr>
        <w:t xml:space="preserve"> B</w:t>
      </w:r>
      <w:r w:rsidR="001B0057">
        <w:rPr>
          <w:rFonts w:cstheme="minorHAnsi"/>
        </w:rPr>
        <w:t>iosafety Level 2 (BSL2)</w:t>
      </w:r>
      <w:r w:rsidRPr="00D02E2F">
        <w:rPr>
          <w:rFonts w:cstheme="minorHAnsi"/>
        </w:rPr>
        <w:t xml:space="preserve"> containment.</w:t>
      </w:r>
    </w:p>
    <w:p w14:paraId="5FD78A09" w14:textId="77777777" w:rsidR="000C0700" w:rsidRPr="00D02E2F" w:rsidRDefault="000C0700" w:rsidP="00EA417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Animals into which any of the above agents have been introduced require, at minimum, ABSL2 containment.</w:t>
      </w:r>
    </w:p>
    <w:p w14:paraId="6AD751F6" w14:textId="77777777" w:rsidR="00821C3E" w:rsidRDefault="00821C3E" w:rsidP="00821C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Use personal protective equipment (PPE) as described in the associated SOP 2.0.</w:t>
      </w:r>
    </w:p>
    <w:p w14:paraId="61702A46" w14:textId="77777777" w:rsidR="00821C3E" w:rsidRDefault="00821C3E" w:rsidP="007A16CA">
      <w:pPr>
        <w:spacing w:after="0" w:line="276" w:lineRule="auto"/>
        <w:rPr>
          <w:b/>
        </w:rPr>
      </w:pPr>
    </w:p>
    <w:p w14:paraId="2712AC74" w14:textId="77777777" w:rsidR="007A16CA" w:rsidRPr="007A16CA" w:rsidRDefault="0091128E" w:rsidP="007A16CA">
      <w:pPr>
        <w:spacing w:after="0" w:line="276" w:lineRule="auto"/>
        <w:rPr>
          <w:b/>
        </w:rPr>
      </w:pPr>
      <w:r w:rsidRPr="007A16CA">
        <w:rPr>
          <w:b/>
        </w:rPr>
        <w:t>References</w:t>
      </w:r>
      <w:r w:rsidR="007A16CA" w:rsidRPr="007A16CA">
        <w:rPr>
          <w:b/>
        </w:rPr>
        <w:t>:</w:t>
      </w:r>
      <w:r w:rsidRPr="007A16CA">
        <w:rPr>
          <w:b/>
        </w:rPr>
        <w:t xml:space="preserve"> </w:t>
      </w:r>
    </w:p>
    <w:p w14:paraId="126E9CA2" w14:textId="77777777" w:rsidR="00831E95" w:rsidRDefault="00000000" w:rsidP="00712A29">
      <w:pPr>
        <w:pStyle w:val="ListParagraph"/>
        <w:numPr>
          <w:ilvl w:val="0"/>
          <w:numId w:val="11"/>
        </w:numPr>
        <w:spacing w:after="0" w:line="276" w:lineRule="auto"/>
      </w:pPr>
      <w:hyperlink r:id="rId7" w:history="1">
        <w:r w:rsidR="003A7DE2" w:rsidRPr="00831E95">
          <w:rPr>
            <w:rStyle w:val="Hyperlink"/>
          </w:rPr>
          <w:t>Occupational Safety and Health Administration (</w:t>
        </w:r>
        <w:r w:rsidR="0091128E" w:rsidRPr="00831E95">
          <w:rPr>
            <w:rStyle w:val="Hyperlink"/>
          </w:rPr>
          <w:t>OSHA</w:t>
        </w:r>
        <w:r w:rsidR="003A7DE2" w:rsidRPr="00831E95">
          <w:rPr>
            <w:rStyle w:val="Hyperlink"/>
          </w:rPr>
          <w:t>) S</w:t>
        </w:r>
        <w:r w:rsidR="0091128E" w:rsidRPr="00831E95">
          <w:rPr>
            <w:rStyle w:val="Hyperlink"/>
          </w:rPr>
          <w:t>tandard 29 CFR 1910.1030</w:t>
        </w:r>
        <w:r w:rsidR="003A7DE2" w:rsidRPr="00831E95">
          <w:rPr>
            <w:rStyle w:val="Hyperlink"/>
          </w:rPr>
          <w:t>. United States Department of Labor.</w:t>
        </w:r>
        <w:r w:rsidR="000C682A" w:rsidRPr="00831E95">
          <w:rPr>
            <w:rStyle w:val="Hyperlink"/>
          </w:rPr>
          <w:t xml:space="preserve"> 2017</w:t>
        </w:r>
      </w:hyperlink>
      <w:r w:rsidR="000C682A">
        <w:t>.</w:t>
      </w:r>
    </w:p>
    <w:p w14:paraId="387BB90F" w14:textId="77777777" w:rsidR="000C682A" w:rsidRDefault="00000000" w:rsidP="00712A29">
      <w:pPr>
        <w:pStyle w:val="ListParagraph"/>
        <w:numPr>
          <w:ilvl w:val="0"/>
          <w:numId w:val="11"/>
        </w:numPr>
        <w:spacing w:after="0" w:line="276" w:lineRule="auto"/>
      </w:pPr>
      <w:hyperlink r:id="rId8" w:history="1">
        <w:r w:rsidR="000C682A" w:rsidRPr="00831E95">
          <w:rPr>
            <w:rStyle w:val="Hyperlink"/>
          </w:rPr>
          <w:t>US Department of Labor. Occupational exposure to bloodborne pathogens. Final Rule. Standard interpretations: applicability of 1910.1030 to established human cell lines. June 24, 1994</w:t>
        </w:r>
      </w:hyperlink>
      <w:r w:rsidR="000C682A">
        <w:t>.</w:t>
      </w:r>
    </w:p>
    <w:p w14:paraId="7D7755DA" w14:textId="7A0ABCE0" w:rsidR="007A16CA" w:rsidRDefault="003A7DE7" w:rsidP="007A16CA">
      <w:pPr>
        <w:pStyle w:val="ListParagraph"/>
        <w:numPr>
          <w:ilvl w:val="0"/>
          <w:numId w:val="11"/>
        </w:numPr>
        <w:spacing w:after="0" w:line="276" w:lineRule="auto"/>
      </w:pPr>
      <w:hyperlink r:id="rId9" w:history="1">
        <w:r w:rsidRPr="003A7DE7">
          <w:rPr>
            <w:rStyle w:val="Hyperlink"/>
            <w:rFonts w:cstheme="minorHAnsi"/>
          </w:rPr>
          <w:t>Biosafety i</w:t>
        </w:r>
        <w:r w:rsidRPr="003A7DE7">
          <w:rPr>
            <w:rStyle w:val="Hyperlink"/>
            <w:rFonts w:cstheme="minorHAnsi"/>
          </w:rPr>
          <w:t>n</w:t>
        </w:r>
        <w:r w:rsidRPr="003A7DE7">
          <w:rPr>
            <w:rStyle w:val="Hyperlink"/>
            <w:rFonts w:cstheme="minorHAnsi"/>
          </w:rPr>
          <w:t xml:space="preserve"> Microbiological and Biomedical Laboratories-6</w:t>
        </w:r>
        <w:r w:rsidRPr="003A7DE7">
          <w:rPr>
            <w:rStyle w:val="Hyperlink"/>
            <w:rFonts w:cstheme="minorHAnsi"/>
            <w:vertAlign w:val="superscript"/>
          </w:rPr>
          <w:t>th</w:t>
        </w:r>
        <w:r w:rsidRPr="003A7DE7">
          <w:rPr>
            <w:rStyle w:val="Hyperlink"/>
            <w:rFonts w:cstheme="minorHAnsi"/>
          </w:rPr>
          <w:t xml:space="preserve"> Edition (BMBL 6). U.S. Department of Health and Human Services, CDC, NIH</w:t>
        </w:r>
      </w:hyperlink>
      <w:r w:rsidR="000C682A">
        <w:t xml:space="preserve"> </w:t>
      </w:r>
    </w:p>
    <w:p w14:paraId="6625917E" w14:textId="77777777" w:rsidR="00BA5CB5" w:rsidRPr="007A16CA" w:rsidRDefault="00000000" w:rsidP="007A16CA">
      <w:pPr>
        <w:pStyle w:val="ListParagraph"/>
        <w:numPr>
          <w:ilvl w:val="0"/>
          <w:numId w:val="11"/>
        </w:numPr>
      </w:pPr>
      <w:hyperlink r:id="rId10" w:history="1">
        <w:r w:rsidR="00BA5CB5" w:rsidRPr="00831E95">
          <w:rPr>
            <w:rStyle w:val="Hyperlink"/>
            <w:rFonts w:cstheme="minorHAnsi"/>
          </w:rPr>
          <w:t>Identifying Infectious Hazards Associated with the Use of Nonhuman Primates in Research.</w:t>
        </w:r>
        <w:r w:rsidR="00D72914" w:rsidRPr="00831E95">
          <w:rPr>
            <w:rStyle w:val="Hyperlink"/>
            <w:rFonts w:cstheme="minorHAnsi"/>
          </w:rPr>
          <w:t xml:space="preserve"> Chapter 3</w:t>
        </w:r>
        <w:r w:rsidR="00D72914" w:rsidRPr="00831E95">
          <w:rPr>
            <w:rStyle w:val="Hyperlink"/>
            <w:rFonts w:cstheme="minorHAnsi"/>
            <w:i/>
          </w:rPr>
          <w:t xml:space="preserve">. </w:t>
        </w:r>
        <w:r w:rsidR="00BA5CB5" w:rsidRPr="00831E95">
          <w:rPr>
            <w:rStyle w:val="Hyperlink"/>
            <w:rFonts w:cstheme="minorHAnsi"/>
            <w:i/>
          </w:rPr>
          <w:t xml:space="preserve">In </w:t>
        </w:r>
        <w:r w:rsidR="000B20B2" w:rsidRPr="00831E95">
          <w:rPr>
            <w:rStyle w:val="Hyperlink"/>
            <w:rFonts w:cstheme="minorHAnsi"/>
            <w:i/>
          </w:rPr>
          <w:t>Occupational Health and Safety in the Ca</w:t>
        </w:r>
        <w:r w:rsidR="00D72C20" w:rsidRPr="00831E95">
          <w:rPr>
            <w:rStyle w:val="Hyperlink"/>
            <w:rFonts w:cstheme="minorHAnsi"/>
            <w:i/>
          </w:rPr>
          <w:t>re and Use of Nonhuman Primates.</w:t>
        </w:r>
        <w:r w:rsidR="00D72C20" w:rsidRPr="00831E95">
          <w:rPr>
            <w:rStyle w:val="Hyperlink"/>
            <w:rFonts w:cstheme="minorHAnsi"/>
          </w:rPr>
          <w:t xml:space="preserve"> </w:t>
        </w:r>
        <w:r w:rsidR="000B20B2" w:rsidRPr="00831E95">
          <w:rPr>
            <w:rStyle w:val="Hyperlink"/>
            <w:rFonts w:cstheme="minorHAnsi"/>
          </w:rPr>
          <w:t>Committee on Occupational Health and Safety in the Care and Use of Nonhuman Primates, National Research Council</w:t>
        </w:r>
        <w:r w:rsidR="00D72C20" w:rsidRPr="00831E95">
          <w:rPr>
            <w:rStyle w:val="Hyperlink"/>
            <w:rFonts w:cstheme="minorHAnsi"/>
          </w:rPr>
          <w:t>.</w:t>
        </w:r>
        <w:r w:rsidR="00D72914" w:rsidRPr="00831E95">
          <w:rPr>
            <w:rStyle w:val="Hyperlink"/>
            <w:rFonts w:cstheme="minorHAnsi"/>
          </w:rPr>
          <w:t xml:space="preserve"> 2003</w:t>
        </w:r>
      </w:hyperlink>
      <w:r w:rsidR="00D72914">
        <w:rPr>
          <w:rFonts w:cstheme="minorHAnsi"/>
          <w:color w:val="000000"/>
        </w:rPr>
        <w:t>.</w:t>
      </w:r>
      <w:r w:rsidR="00831E95" w:rsidRPr="007A16CA">
        <w:t xml:space="preserve"> </w:t>
      </w:r>
    </w:p>
    <w:p w14:paraId="4A4B6E02" w14:textId="77777777" w:rsidR="00D02E2F" w:rsidRPr="00CA5AC9" w:rsidRDefault="00D02E2F" w:rsidP="00831E95">
      <w:pPr>
        <w:spacing w:after="0" w:line="240" w:lineRule="auto"/>
        <w:jc w:val="both"/>
        <w:rPr>
          <w:u w:val="single"/>
        </w:rPr>
      </w:pPr>
      <w:r w:rsidRPr="00CA5AC9">
        <w:rPr>
          <w:u w:val="single"/>
        </w:rPr>
        <w:t>Enter the following information:</w:t>
      </w:r>
    </w:p>
    <w:p w14:paraId="4AC81765" w14:textId="77777777" w:rsidR="00D02E2F" w:rsidRDefault="00D02E2F" w:rsidP="00831E9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Name of the Principle Investigator: ________________________________</w:t>
      </w:r>
      <w:r>
        <w:rPr>
          <w:u w:val="single"/>
        </w:rPr>
        <w:t xml:space="preserve">       </w:t>
      </w:r>
      <w:r>
        <w:t>______________</w:t>
      </w:r>
    </w:p>
    <w:p w14:paraId="79366145" w14:textId="77777777" w:rsidR="00D02E2F" w:rsidRDefault="00D02E2F" w:rsidP="00831E95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Applicable IBC protocol number(s) (approved or submitted): _____________________________</w:t>
      </w:r>
    </w:p>
    <w:p w14:paraId="363E7D44" w14:textId="77777777" w:rsidR="00D02E2F" w:rsidRPr="001239FE" w:rsidRDefault="00D02E2F" w:rsidP="00831E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List the laboratory locations (b</w:t>
      </w:r>
      <w:r w:rsidRPr="001239FE">
        <w:rPr>
          <w:rFonts w:cstheme="minorHAnsi"/>
        </w:rPr>
        <w:t xml:space="preserve">uilding/room[s]) for </w:t>
      </w:r>
      <w:r w:rsidR="001B0057">
        <w:rPr>
          <w:rFonts w:cstheme="minorHAnsi"/>
        </w:rPr>
        <w:t xml:space="preserve">BBP or OPIM, </w:t>
      </w:r>
      <w:r w:rsidRPr="001239FE">
        <w:rPr>
          <w:rFonts w:cstheme="minorHAnsi"/>
        </w:rPr>
        <w:t>BSL2</w:t>
      </w:r>
      <w:r>
        <w:rPr>
          <w:rFonts w:cstheme="minorHAnsi"/>
        </w:rPr>
        <w:t xml:space="preserve"> </w:t>
      </w:r>
      <w:r w:rsidR="001B0057">
        <w:rPr>
          <w:rFonts w:cstheme="minorHAnsi"/>
        </w:rPr>
        <w:t xml:space="preserve">(or above) </w:t>
      </w:r>
      <w:r>
        <w:rPr>
          <w:rFonts w:cstheme="minorHAnsi"/>
        </w:rPr>
        <w:t>agent</w:t>
      </w:r>
      <w:r w:rsidR="001B0057">
        <w:rPr>
          <w:rFonts w:cstheme="minorHAnsi"/>
        </w:rPr>
        <w:t>s</w:t>
      </w:r>
      <w:r w:rsidRPr="001239FE">
        <w:rPr>
          <w:rFonts w:cstheme="minorHAnsi"/>
        </w:rPr>
        <w:t>:</w:t>
      </w:r>
    </w:p>
    <w:p w14:paraId="16587472" w14:textId="77777777" w:rsidR="00D02E2F" w:rsidRPr="00F26AE8" w:rsidRDefault="00D02E2F" w:rsidP="00831E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6AE8">
        <w:rPr>
          <w:rFonts w:cstheme="minorHAnsi"/>
        </w:rPr>
        <w:t>Procedures:_________________________________ and Storage: _________________</w:t>
      </w:r>
      <w:r>
        <w:rPr>
          <w:rFonts w:cstheme="minorHAnsi"/>
        </w:rPr>
        <w:t>____</w:t>
      </w:r>
    </w:p>
    <w:p w14:paraId="5A77EB9D" w14:textId="77777777" w:rsidR="002A46D3" w:rsidRDefault="00D02E2F" w:rsidP="00831E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713A">
        <w:rPr>
          <w:rFonts w:cstheme="minorHAnsi"/>
        </w:rPr>
        <w:t xml:space="preserve">If introducing </w:t>
      </w:r>
      <w:r w:rsidR="001B0057">
        <w:rPr>
          <w:rFonts w:cstheme="minorHAnsi"/>
        </w:rPr>
        <w:t>BBP or OPIM into</w:t>
      </w:r>
      <w:r w:rsidRPr="0027713A">
        <w:rPr>
          <w:rFonts w:cstheme="minorHAnsi"/>
        </w:rPr>
        <w:t xml:space="preserve"> animals, list the animal facility locations (building/room[s]) for these animals. </w:t>
      </w:r>
      <w:r w:rsidR="001B0057">
        <w:rPr>
          <w:rFonts w:cstheme="minorHAnsi"/>
        </w:rPr>
        <w:t xml:space="preserve">Minimally, </w:t>
      </w:r>
      <w:r w:rsidR="002A46D3">
        <w:rPr>
          <w:rFonts w:cstheme="minorHAnsi"/>
        </w:rPr>
        <w:t>ABSL2 containment is required.</w:t>
      </w:r>
    </w:p>
    <w:p w14:paraId="4596DAB3" w14:textId="77777777" w:rsidR="00D02E2F" w:rsidRDefault="00D02E2F" w:rsidP="00831E9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7713A">
        <w:rPr>
          <w:rFonts w:cstheme="minorHAnsi"/>
        </w:rPr>
        <w:t>Confirm with ULAR that the rooms listed below are suitable for ABSL2 animals.</w:t>
      </w:r>
    </w:p>
    <w:p w14:paraId="4750D7C0" w14:textId="77777777" w:rsidR="00D02E2F" w:rsidRPr="0027713A" w:rsidRDefault="00D02E2F" w:rsidP="00831E9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4495">
        <w:rPr>
          <w:rFonts w:cstheme="minorHAnsi"/>
        </w:rPr>
        <w:t>Procedures:_________________________________ and Housing:_____________________</w:t>
      </w:r>
    </w:p>
    <w:p w14:paraId="0371A89C" w14:textId="77777777" w:rsidR="00D02E2F" w:rsidRDefault="00D02E2F" w:rsidP="00821C3E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Date of Agent Summary form completion: ___________________</w:t>
      </w:r>
    </w:p>
    <w:sectPr w:rsidR="00D02E2F" w:rsidSect="00821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D8FF" w14:textId="77777777" w:rsidR="00DF7BBD" w:rsidRDefault="00DF7BBD" w:rsidP="002C4F3A">
      <w:pPr>
        <w:spacing w:after="0" w:line="240" w:lineRule="auto"/>
      </w:pPr>
      <w:r>
        <w:separator/>
      </w:r>
    </w:p>
  </w:endnote>
  <w:endnote w:type="continuationSeparator" w:id="0">
    <w:p w14:paraId="00CDDB46" w14:textId="77777777" w:rsidR="00DF7BBD" w:rsidRDefault="00DF7BBD" w:rsidP="002C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28F5" w14:textId="77777777" w:rsidR="00DF7BBD" w:rsidRDefault="00DF7BBD" w:rsidP="002C4F3A">
      <w:pPr>
        <w:spacing w:after="0" w:line="240" w:lineRule="auto"/>
      </w:pPr>
      <w:r>
        <w:separator/>
      </w:r>
    </w:p>
  </w:footnote>
  <w:footnote w:type="continuationSeparator" w:id="0">
    <w:p w14:paraId="44D4FBCC" w14:textId="77777777" w:rsidR="00DF7BBD" w:rsidRDefault="00DF7BBD" w:rsidP="002C4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D60"/>
    <w:multiLevelType w:val="hybridMultilevel"/>
    <w:tmpl w:val="45AA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0FE"/>
    <w:multiLevelType w:val="hybridMultilevel"/>
    <w:tmpl w:val="0E7C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36E8"/>
    <w:multiLevelType w:val="hybridMultilevel"/>
    <w:tmpl w:val="2C24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1B08"/>
    <w:multiLevelType w:val="hybridMultilevel"/>
    <w:tmpl w:val="78C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34596"/>
    <w:multiLevelType w:val="hybridMultilevel"/>
    <w:tmpl w:val="0CD237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646DD"/>
    <w:multiLevelType w:val="hybridMultilevel"/>
    <w:tmpl w:val="97D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B401C"/>
    <w:multiLevelType w:val="hybridMultilevel"/>
    <w:tmpl w:val="53EC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68FB"/>
    <w:multiLevelType w:val="hybridMultilevel"/>
    <w:tmpl w:val="23BAE8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4365C"/>
    <w:multiLevelType w:val="hybridMultilevel"/>
    <w:tmpl w:val="4DE83B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D251C0"/>
    <w:multiLevelType w:val="hybridMultilevel"/>
    <w:tmpl w:val="18FC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118FB"/>
    <w:multiLevelType w:val="hybridMultilevel"/>
    <w:tmpl w:val="0EA2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C0D0A"/>
    <w:multiLevelType w:val="hybridMultilevel"/>
    <w:tmpl w:val="BF06CE9E"/>
    <w:lvl w:ilvl="0" w:tplc="B63804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4305D"/>
    <w:multiLevelType w:val="hybridMultilevel"/>
    <w:tmpl w:val="31DC5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6B7AFF"/>
    <w:multiLevelType w:val="hybridMultilevel"/>
    <w:tmpl w:val="C3B8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50920">
    <w:abstractNumId w:val="10"/>
  </w:num>
  <w:num w:numId="2" w16cid:durableId="2087605552">
    <w:abstractNumId w:val="9"/>
  </w:num>
  <w:num w:numId="3" w16cid:durableId="244801801">
    <w:abstractNumId w:val="12"/>
  </w:num>
  <w:num w:numId="4" w16cid:durableId="1297494468">
    <w:abstractNumId w:val="4"/>
  </w:num>
  <w:num w:numId="5" w16cid:durableId="618268329">
    <w:abstractNumId w:val="0"/>
  </w:num>
  <w:num w:numId="6" w16cid:durableId="364522247">
    <w:abstractNumId w:val="3"/>
  </w:num>
  <w:num w:numId="7" w16cid:durableId="826409146">
    <w:abstractNumId w:val="2"/>
  </w:num>
  <w:num w:numId="8" w16cid:durableId="362947828">
    <w:abstractNumId w:val="11"/>
  </w:num>
  <w:num w:numId="9" w16cid:durableId="1843659301">
    <w:abstractNumId w:val="7"/>
  </w:num>
  <w:num w:numId="10" w16cid:durableId="202526572">
    <w:abstractNumId w:val="1"/>
  </w:num>
  <w:num w:numId="11" w16cid:durableId="586620437">
    <w:abstractNumId w:val="13"/>
  </w:num>
  <w:num w:numId="12" w16cid:durableId="738091959">
    <w:abstractNumId w:val="5"/>
  </w:num>
  <w:num w:numId="13" w16cid:durableId="1408066932">
    <w:abstractNumId w:val="8"/>
  </w:num>
  <w:num w:numId="14" w16cid:durableId="1672835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8E"/>
    <w:rsid w:val="00035DE2"/>
    <w:rsid w:val="00066402"/>
    <w:rsid w:val="000B20B2"/>
    <w:rsid w:val="000C0700"/>
    <w:rsid w:val="000C682A"/>
    <w:rsid w:val="001B0057"/>
    <w:rsid w:val="001D5DFF"/>
    <w:rsid w:val="002070DF"/>
    <w:rsid w:val="002A46D3"/>
    <w:rsid w:val="002C4F3A"/>
    <w:rsid w:val="002F73C4"/>
    <w:rsid w:val="00385463"/>
    <w:rsid w:val="003A7DE2"/>
    <w:rsid w:val="003A7DE7"/>
    <w:rsid w:val="003D149A"/>
    <w:rsid w:val="004F0FF8"/>
    <w:rsid w:val="00593B26"/>
    <w:rsid w:val="006858E0"/>
    <w:rsid w:val="00725AAC"/>
    <w:rsid w:val="007A16CA"/>
    <w:rsid w:val="007A58DA"/>
    <w:rsid w:val="00821C3E"/>
    <w:rsid w:val="00831E95"/>
    <w:rsid w:val="00886908"/>
    <w:rsid w:val="0091128E"/>
    <w:rsid w:val="00A269C1"/>
    <w:rsid w:val="00A6523C"/>
    <w:rsid w:val="00AD5A87"/>
    <w:rsid w:val="00B04B02"/>
    <w:rsid w:val="00B47C79"/>
    <w:rsid w:val="00BA5CB5"/>
    <w:rsid w:val="00CB5823"/>
    <w:rsid w:val="00D02E2F"/>
    <w:rsid w:val="00D676D6"/>
    <w:rsid w:val="00D72914"/>
    <w:rsid w:val="00D72C20"/>
    <w:rsid w:val="00DF7BBD"/>
    <w:rsid w:val="00E2275D"/>
    <w:rsid w:val="00E77431"/>
    <w:rsid w:val="00EA4171"/>
    <w:rsid w:val="00F5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05408"/>
  <w15:chartTrackingRefBased/>
  <w15:docId w15:val="{CFDE64D9-D35E-438B-85DB-8534B9D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C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5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BA5CB5"/>
  </w:style>
  <w:style w:type="character" w:customStyle="1" w:styleId="Title1">
    <w:name w:val="Title1"/>
    <w:basedOn w:val="DefaultParagraphFont"/>
    <w:rsid w:val="00BA5CB5"/>
  </w:style>
  <w:style w:type="character" w:styleId="Hyperlink">
    <w:name w:val="Hyperlink"/>
    <w:basedOn w:val="DefaultParagraphFont"/>
    <w:uiPriority w:val="99"/>
    <w:unhideWhenUsed/>
    <w:rsid w:val="00BA5C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3A"/>
  </w:style>
  <w:style w:type="paragraph" w:styleId="Footer">
    <w:name w:val="footer"/>
    <w:basedOn w:val="Normal"/>
    <w:link w:val="FooterChar"/>
    <w:uiPriority w:val="99"/>
    <w:unhideWhenUsed/>
    <w:rsid w:val="002C4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3A"/>
  </w:style>
  <w:style w:type="character" w:styleId="FollowedHyperlink">
    <w:name w:val="FollowedHyperlink"/>
    <w:basedOn w:val="DefaultParagraphFont"/>
    <w:uiPriority w:val="99"/>
    <w:semiHidden/>
    <w:unhideWhenUsed/>
    <w:rsid w:val="008869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laws-regs/standardinterpretations/1994-06-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ha.gov/laws-regs/regulations/standardnumber/1910/1910.10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books/NBK43451/pdf/Bookshelf_NBK434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labs/pdf/CDC-BiosafetyMicrobiologicalBiomedicalLaboratories-2020-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Mettus</dc:creator>
  <cp:keywords/>
  <dc:description/>
  <cp:lastModifiedBy>Artur Slupianek</cp:lastModifiedBy>
  <cp:revision>4</cp:revision>
  <dcterms:created xsi:type="dcterms:W3CDTF">2019-11-05T14:41:00Z</dcterms:created>
  <dcterms:modified xsi:type="dcterms:W3CDTF">2023-10-23T18:32:00Z</dcterms:modified>
</cp:coreProperties>
</file>