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52599" w14:textId="77777777" w:rsidR="0027369B" w:rsidRDefault="0027369B" w:rsidP="001F7306">
      <w:pPr>
        <w:pStyle w:val="SOPLevel1"/>
        <w:numPr>
          <w:ilvl w:val="0"/>
          <w:numId w:val="3"/>
        </w:numPr>
      </w:pPr>
      <w:r>
        <w:t>PURPOSE</w:t>
      </w:r>
    </w:p>
    <w:p w14:paraId="74D5259A" w14:textId="3B5CCF50" w:rsidR="004C046E" w:rsidRPr="004C046E" w:rsidRDefault="001D2C16" w:rsidP="001F7306">
      <w:pPr>
        <w:pStyle w:val="SOPLevel2"/>
      </w:pPr>
      <w:r>
        <w:t>This</w:t>
      </w:r>
      <w:r w:rsidR="004C046E" w:rsidRPr="004C046E">
        <w:t xml:space="preserve"> </w:t>
      </w:r>
      <w:r w:rsidR="004B06CA">
        <w:t xml:space="preserve">procedure </w:t>
      </w:r>
      <w:r w:rsidR="004C046E" w:rsidRPr="004C046E">
        <w:t>establish</w:t>
      </w:r>
      <w:r w:rsidR="004B06CA">
        <w:t>es</w:t>
      </w:r>
      <w:r w:rsidR="004C046E" w:rsidRPr="004C046E">
        <w:t xml:space="preserve"> </w:t>
      </w:r>
      <w:r w:rsidR="008C5C39">
        <w:t>the</w:t>
      </w:r>
      <w:r w:rsidR="004C046E" w:rsidRPr="004C046E">
        <w:t xml:space="preserve"> process to </w:t>
      </w:r>
      <w:r w:rsidR="00916E2D">
        <w:t>communicate the IRB</w:t>
      </w:r>
      <w:r w:rsidR="003826FA">
        <w:t>’</w:t>
      </w:r>
      <w:r w:rsidR="00916E2D">
        <w:t>s findings and actions</w:t>
      </w:r>
      <w:r w:rsidR="004C046E" w:rsidRPr="004C046E">
        <w:t>.</w:t>
      </w:r>
    </w:p>
    <w:p w14:paraId="74D5259B" w14:textId="77777777" w:rsidR="004C046E" w:rsidRPr="004C046E" w:rsidRDefault="004C046E" w:rsidP="001F7306">
      <w:pPr>
        <w:pStyle w:val="SOPLevel2"/>
      </w:pPr>
      <w:r w:rsidRPr="004C046E">
        <w:t xml:space="preserve">This procedure begins when </w:t>
      </w:r>
      <w:r w:rsidR="00FA76FB">
        <w:t>the IRB</w:t>
      </w:r>
      <w:r w:rsidR="00916E2D">
        <w:t xml:space="preserve"> has completed a review</w:t>
      </w:r>
      <w:r w:rsidRPr="004C046E">
        <w:t>.</w:t>
      </w:r>
    </w:p>
    <w:p w14:paraId="74D5259C" w14:textId="77777777" w:rsidR="004C046E" w:rsidRPr="004C046E" w:rsidRDefault="004C046E" w:rsidP="001F7306">
      <w:pPr>
        <w:pStyle w:val="SOPLevel2"/>
      </w:pPr>
      <w:r w:rsidRPr="004C046E">
        <w:t xml:space="preserve">This procedure ends when </w:t>
      </w:r>
      <w:r w:rsidR="00E949CF">
        <w:t>the</w:t>
      </w:r>
      <w:r w:rsidR="004C5E5C">
        <w:t xml:space="preserve"> </w:t>
      </w:r>
      <w:r w:rsidR="0049615A">
        <w:t xml:space="preserve">IRB </w:t>
      </w:r>
      <w:r w:rsidR="00916E2D">
        <w:t>communicated its findings and actions</w:t>
      </w:r>
      <w:r w:rsidRPr="004C046E">
        <w:t>.</w:t>
      </w:r>
    </w:p>
    <w:p w14:paraId="74D5259D" w14:textId="77777777" w:rsidR="0027369B" w:rsidRDefault="0027369B" w:rsidP="001F7306">
      <w:pPr>
        <w:pStyle w:val="SOPLevel1"/>
        <w:numPr>
          <w:ilvl w:val="0"/>
          <w:numId w:val="3"/>
        </w:numPr>
      </w:pPr>
      <w:r>
        <w:t>POLICY</w:t>
      </w:r>
    </w:p>
    <w:p w14:paraId="6F2F743A" w14:textId="14C2E600" w:rsidR="00D76242" w:rsidRDefault="00B025E9" w:rsidP="00D76242">
      <w:pPr>
        <w:pStyle w:val="SOPLevel2"/>
      </w:pPr>
      <w:r>
        <w:t>The [Organization] does not need to directly report to a regulatory agency, if the agency has been notified by alternate mechanisms.</w:t>
      </w:r>
    </w:p>
    <w:p w14:paraId="13FE4FCB" w14:textId="32026813" w:rsidR="00B025E9" w:rsidRDefault="00B025E9" w:rsidP="00D76242">
      <w:pPr>
        <w:pStyle w:val="SOPLevel2"/>
      </w:pPr>
      <w:r>
        <w:t>OHRP does not require organizations to report &lt;Unanticipated Problems Involving Risks to Subjects or Others&gt;, &lt;Serious Noncompliance&gt;, and &lt;Continuing Noncompliance&gt; when unrelated to the local context.</w:t>
      </w:r>
    </w:p>
    <w:p w14:paraId="74D525B0" w14:textId="77777777" w:rsidR="0027369B" w:rsidRDefault="0027369B" w:rsidP="001F7306">
      <w:pPr>
        <w:pStyle w:val="SOPLevel1"/>
        <w:numPr>
          <w:ilvl w:val="0"/>
          <w:numId w:val="3"/>
        </w:numPr>
      </w:pPr>
      <w:r>
        <w:t>RESPONSIBILITY</w:t>
      </w:r>
    </w:p>
    <w:p w14:paraId="74D525B1" w14:textId="6773FBE7" w:rsidR="00FA76FB" w:rsidRPr="00FA76FB" w:rsidRDefault="005C5F0F" w:rsidP="001F7306">
      <w:pPr>
        <w:pStyle w:val="SOPLevel2"/>
      </w:pPr>
      <w:r>
        <w:t>HRPP staff</w:t>
      </w:r>
      <w:r w:rsidR="00FA76FB" w:rsidRPr="00FA76FB">
        <w:t xml:space="preserve"> members carry out these procedures.</w:t>
      </w:r>
    </w:p>
    <w:p w14:paraId="74D525B2" w14:textId="77777777" w:rsidR="0027369B" w:rsidRDefault="0027369B" w:rsidP="001F7306">
      <w:pPr>
        <w:pStyle w:val="SOPLevel1"/>
        <w:numPr>
          <w:ilvl w:val="0"/>
          <w:numId w:val="3"/>
        </w:numPr>
      </w:pPr>
      <w:r>
        <w:t>PROCEDURE</w:t>
      </w:r>
    </w:p>
    <w:p w14:paraId="74D525B4" w14:textId="299D12D5" w:rsidR="00916E2D" w:rsidRDefault="00EA2D97" w:rsidP="001F7306">
      <w:pPr>
        <w:pStyle w:val="SOPLevel2"/>
      </w:pPr>
      <w:r>
        <w:t>Calculate</w:t>
      </w:r>
      <w:r w:rsidR="00916E2D">
        <w:t xml:space="preserve"> the &lt;End Approval Date&gt; following “POLICY: End Approval Date</w:t>
      </w:r>
      <w:r w:rsidR="00EE1761">
        <w:t xml:space="preserve"> (HRP-022)</w:t>
      </w:r>
      <w:r w:rsidR="00916E2D">
        <w:t>”.</w:t>
      </w:r>
    </w:p>
    <w:p w14:paraId="74D525B5" w14:textId="51EDBD34" w:rsidR="00916E2D" w:rsidRDefault="00916E2D" w:rsidP="001F7306">
      <w:pPr>
        <w:pStyle w:val="SOPLevel2"/>
      </w:pPr>
      <w:r>
        <w:t xml:space="preserve">Complete the applicable </w:t>
      </w:r>
      <w:r w:rsidR="00EA2D97">
        <w:t>template notification</w:t>
      </w:r>
      <w:r>
        <w:t xml:space="preserve"> (See Table 1 in REFERENCES)</w:t>
      </w:r>
      <w:r w:rsidR="00EA2D97">
        <w:t xml:space="preserve"> or </w:t>
      </w:r>
      <w:r w:rsidR="005C6C77">
        <w:t>when necessary draft a unique notification</w:t>
      </w:r>
      <w:r w:rsidR="00EA2D97">
        <w:t>.</w:t>
      </w:r>
    </w:p>
    <w:p w14:paraId="74D525B6" w14:textId="77777777" w:rsidR="00916E2D" w:rsidRDefault="00916E2D" w:rsidP="001F7306">
      <w:pPr>
        <w:pStyle w:val="SOPLevel2"/>
      </w:pPr>
      <w:r>
        <w:t>Update any newly approved consent document with the approval date.</w:t>
      </w:r>
    </w:p>
    <w:p w14:paraId="51821809" w14:textId="77777777" w:rsidR="00981C16" w:rsidRDefault="00981C16" w:rsidP="00981C16">
      <w:pPr>
        <w:pStyle w:val="SOPLevel2"/>
        <w:numPr>
          <w:ilvl w:val="1"/>
          <w:numId w:val="13"/>
        </w:numPr>
      </w:pPr>
      <w:r>
        <w:t>Within 30 days of a decision send the notification to:</w:t>
      </w:r>
    </w:p>
    <w:p w14:paraId="06E0F826" w14:textId="77777777" w:rsidR="00981C16" w:rsidRDefault="00981C16" w:rsidP="00981C16">
      <w:pPr>
        <w:pStyle w:val="SOPLevel3"/>
        <w:numPr>
          <w:ilvl w:val="2"/>
          <w:numId w:val="12"/>
        </w:numPr>
      </w:pPr>
      <w:r>
        <w:t>The investigator</w:t>
      </w:r>
    </w:p>
    <w:p w14:paraId="7F9C8C56" w14:textId="77777777" w:rsidR="00981C16" w:rsidRDefault="00981C16" w:rsidP="00981C16">
      <w:pPr>
        <w:pStyle w:val="SOPLevel3"/>
        <w:numPr>
          <w:ilvl w:val="2"/>
          <w:numId w:val="12"/>
        </w:numPr>
      </w:pPr>
      <w:r>
        <w:t>Study contacts</w:t>
      </w:r>
    </w:p>
    <w:p w14:paraId="33C0CAD6" w14:textId="77777777" w:rsidR="00981C16" w:rsidRDefault="00981C16" w:rsidP="00981C16">
      <w:pPr>
        <w:pStyle w:val="SOPLevel3"/>
        <w:numPr>
          <w:ilvl w:val="2"/>
          <w:numId w:val="12"/>
        </w:numPr>
      </w:pPr>
      <w:r>
        <w:t>The DOD component</w:t>
      </w:r>
      <w:r>
        <w:rPr>
          <w:rStyle w:val="FootnoteReference"/>
        </w:rPr>
        <w:footnoteReference w:id="2"/>
      </w:r>
      <w:r>
        <w:t xml:space="preserve"> when the research involving human subjects is DOD-supported and the notification involves any of the following:</w:t>
      </w:r>
    </w:p>
    <w:p w14:paraId="7BE8C16A" w14:textId="22278659" w:rsidR="0016633D" w:rsidRDefault="00981C16" w:rsidP="00392566">
      <w:pPr>
        <w:pStyle w:val="SOPLevel4"/>
        <w:numPr>
          <w:ilvl w:val="3"/>
          <w:numId w:val="12"/>
        </w:numPr>
        <w:ind w:left="2880" w:hanging="864"/>
      </w:pPr>
      <w:r>
        <w:t>Significant changes to the research protocol are approved by the IRB</w:t>
      </w:r>
      <w:r w:rsidR="0016633D">
        <w:t>, such as:</w:t>
      </w:r>
    </w:p>
    <w:p w14:paraId="775981F8" w14:textId="09806233" w:rsidR="0016633D" w:rsidRDefault="0016633D" w:rsidP="0016633D">
      <w:pPr>
        <w:pStyle w:val="SOPLevel5"/>
        <w:numPr>
          <w:ilvl w:val="4"/>
          <w:numId w:val="12"/>
        </w:numPr>
      </w:pPr>
      <w:r>
        <w:t>Changes to key investigators or institutions.</w:t>
      </w:r>
    </w:p>
    <w:p w14:paraId="022E5250" w14:textId="78388877" w:rsidR="0016633D" w:rsidRDefault="0016633D" w:rsidP="0016633D">
      <w:pPr>
        <w:pStyle w:val="SOPLevel5"/>
        <w:numPr>
          <w:ilvl w:val="4"/>
          <w:numId w:val="12"/>
        </w:numPr>
      </w:pPr>
      <w:r>
        <w:t>Decreased benefit or increased risk to participants in greater than minimal risk research.</w:t>
      </w:r>
    </w:p>
    <w:p w14:paraId="3FA1AB77" w14:textId="27B8F771" w:rsidR="0016633D" w:rsidRDefault="0016633D" w:rsidP="0016633D">
      <w:pPr>
        <w:pStyle w:val="SOPLevel5"/>
        <w:numPr>
          <w:ilvl w:val="4"/>
          <w:numId w:val="12"/>
        </w:numPr>
      </w:pPr>
      <w:r>
        <w:t>Addition of vulnerable populations as participants.</w:t>
      </w:r>
    </w:p>
    <w:p w14:paraId="4D5BF311" w14:textId="1E2036F2" w:rsidR="0016633D" w:rsidRDefault="0016633D" w:rsidP="00FA73AB">
      <w:pPr>
        <w:pStyle w:val="SOPLevel5"/>
        <w:numPr>
          <w:ilvl w:val="4"/>
          <w:numId w:val="12"/>
        </w:numPr>
      </w:pPr>
      <w:r>
        <w:t>Addition of DoD-affiliated personnel as participants.</w:t>
      </w:r>
    </w:p>
    <w:p w14:paraId="06323682" w14:textId="6159D27B" w:rsidR="00981C16" w:rsidRDefault="0016633D" w:rsidP="00392566">
      <w:pPr>
        <w:pStyle w:val="SOPLevel4"/>
        <w:numPr>
          <w:ilvl w:val="3"/>
          <w:numId w:val="12"/>
        </w:numPr>
        <w:ind w:left="2880" w:hanging="864"/>
      </w:pPr>
      <w:r>
        <w:t>R</w:t>
      </w:r>
      <w:r w:rsidR="00981C16">
        <w:t>esults of the IRB continuing review</w:t>
      </w:r>
      <w:r w:rsidR="00DF45DD">
        <w:t>.</w:t>
      </w:r>
    </w:p>
    <w:p w14:paraId="4F61C6A2" w14:textId="30366C4A" w:rsidR="00981C16" w:rsidRPr="00810580" w:rsidRDefault="00981C16" w:rsidP="00392566">
      <w:pPr>
        <w:pStyle w:val="SOPLevel4"/>
      </w:pPr>
      <w:r w:rsidRPr="00810580">
        <w:t>A change in the IRB used to review and approve the research to a different IRB</w:t>
      </w:r>
      <w:r w:rsidR="00DF45DD">
        <w:t>.</w:t>
      </w:r>
    </w:p>
    <w:p w14:paraId="70593985" w14:textId="4DECA3D5" w:rsidR="00780990" w:rsidRDefault="00981C16" w:rsidP="001B7A08">
      <w:pPr>
        <w:pStyle w:val="SOPLevel4"/>
      </w:pPr>
      <w:r w:rsidRPr="00810580">
        <w:t xml:space="preserve">Communication from any Federal </w:t>
      </w:r>
      <w:r w:rsidR="0016633D">
        <w:t xml:space="preserve">body, state agency, official governing body of a Native American or Alaskan native tribe, other entity, or foreign government </w:t>
      </w:r>
      <w:r w:rsidRPr="00810580">
        <w:t>informing the &lt;Organization&gt; that any part of its HRPP is under investigation for cause</w:t>
      </w:r>
      <w:r w:rsidR="0016633D">
        <w:t xml:space="preserve"> involving a DoD-supported research protocol</w:t>
      </w:r>
      <w:r w:rsidR="00780990">
        <w:t>.</w:t>
      </w:r>
    </w:p>
    <w:p w14:paraId="5B96B672" w14:textId="237B9405" w:rsidR="00ED4D48" w:rsidRDefault="00780990" w:rsidP="00ED4D48">
      <w:pPr>
        <w:pStyle w:val="SOPLevel4"/>
      </w:pPr>
      <w:r>
        <w:t>R</w:t>
      </w:r>
      <w:r w:rsidR="00FC70DC">
        <w:t xml:space="preserve">eports of audits of </w:t>
      </w:r>
      <w:r w:rsidR="00ED4D48">
        <w:t>DoD-supported human participant research by another</w:t>
      </w:r>
      <w:r w:rsidR="00ED4D48" w:rsidRPr="00ED4D48">
        <w:t xml:space="preserve"> federal or state agency, official governing body of a Native American or Alaskan native tribe, other official entity, or foreign government</w:t>
      </w:r>
      <w:r w:rsidR="0003437F">
        <w:t>.</w:t>
      </w:r>
    </w:p>
    <w:p w14:paraId="12B95BDD" w14:textId="6C8073DA" w:rsidR="00DF45DD" w:rsidRDefault="00635259" w:rsidP="00DF45DD">
      <w:pPr>
        <w:pStyle w:val="SOPLevel4"/>
      </w:pPr>
      <w:r>
        <w:lastRenderedPageBreak/>
        <w:t xml:space="preserve">For a non-Exempt protocol, </w:t>
      </w:r>
      <w:r w:rsidR="00DF45DD">
        <w:t xml:space="preserve">when a previously enrolled participant becomes pregnant, or when the researcher learns </w:t>
      </w:r>
      <w:r w:rsidR="00DF45DD" w:rsidRPr="00DF45DD">
        <w:t xml:space="preserve">that a previously enrolled participant is pregnant, </w:t>
      </w:r>
      <w:r w:rsidR="00B643D5">
        <w:t xml:space="preserve">they will stay enrolled, and </w:t>
      </w:r>
      <w:r w:rsidR="00DF45DD" w:rsidRPr="00DF45DD">
        <w:t>the protocol was not</w:t>
      </w:r>
      <w:r w:rsidR="00DF45DD">
        <w:t xml:space="preserve"> </w:t>
      </w:r>
      <w:r w:rsidR="00DF45DD" w:rsidRPr="00DF45DD">
        <w:t>reviewed and approved by the IRB in accordance with 45 CFR 46, Subpart B.</w:t>
      </w:r>
    </w:p>
    <w:p w14:paraId="0A0973D2" w14:textId="280DD240" w:rsidR="00DF45DD" w:rsidRDefault="00741937" w:rsidP="00DF45DD">
      <w:pPr>
        <w:pStyle w:val="SOPLevel4"/>
      </w:pPr>
      <w:r>
        <w:t>When</w:t>
      </w:r>
      <w:r w:rsidR="00DF45DD">
        <w:t xml:space="preserve"> a previously enrolled participant becomes a prisoner, </w:t>
      </w:r>
      <w:r w:rsidR="0094447A">
        <w:t>they will stay enrolled,</w:t>
      </w:r>
      <w:r w:rsidR="000420BC">
        <w:t xml:space="preserve"> and</w:t>
      </w:r>
      <w:r w:rsidR="00DF45DD">
        <w:t xml:space="preserve"> the protocol </w:t>
      </w:r>
      <w:r w:rsidR="00DF45DD" w:rsidRPr="00DF45DD">
        <w:t>was not reviewed and approved by the IRB in accordance with 32 CFR 219, Subpart C.</w:t>
      </w:r>
    </w:p>
    <w:p w14:paraId="5C3F893C" w14:textId="48BCEC12" w:rsidR="00484D6D" w:rsidRPr="00810580" w:rsidRDefault="00DF45DD" w:rsidP="00392566">
      <w:pPr>
        <w:pStyle w:val="SOPLevel4"/>
      </w:pPr>
      <w:r>
        <w:t>Closure of a DoD-supported study.</w:t>
      </w:r>
    </w:p>
    <w:p w14:paraId="182B23B0" w14:textId="77777777" w:rsidR="003826FA" w:rsidRDefault="003826FA" w:rsidP="003826FA">
      <w:pPr>
        <w:pStyle w:val="SOPLevel3"/>
        <w:numPr>
          <w:ilvl w:val="2"/>
          <w:numId w:val="12"/>
        </w:numPr>
      </w:pPr>
      <w:r>
        <w:t xml:space="preserve">Sponsor, when the notification is </w:t>
      </w:r>
    </w:p>
    <w:p w14:paraId="4A04C684" w14:textId="61F34CB8" w:rsidR="003826FA" w:rsidRPr="00810580" w:rsidRDefault="003826FA" w:rsidP="00392566">
      <w:pPr>
        <w:pStyle w:val="SOPLevel4"/>
      </w:pPr>
      <w:r w:rsidRPr="00810580">
        <w:t xml:space="preserve">A disapproval of a request for a waiver of the consent process for planned emergency research that is FDA-regulated (21 CFR </w:t>
      </w:r>
      <w:r w:rsidR="002B53F5" w:rsidRPr="004C5E5C">
        <w:t>§</w:t>
      </w:r>
      <w:r w:rsidRPr="00810580">
        <w:t>50.24(e)).</w:t>
      </w:r>
    </w:p>
    <w:p w14:paraId="34409CE8" w14:textId="24FBC560" w:rsidR="003826FA" w:rsidRPr="00132008" w:rsidRDefault="003826FA" w:rsidP="00392566">
      <w:pPr>
        <w:pStyle w:val="SOPLevel4"/>
      </w:pPr>
      <w:r>
        <w:t>Information that has been publicly disclosed about the initiation of a study involving a waiver of the consent pro</w:t>
      </w:r>
      <w:r w:rsidRPr="00132008">
        <w:t xml:space="preserve">cess for planned emergency research that is FDA-regulated (21 CFR </w:t>
      </w:r>
      <w:r w:rsidR="002B53F5" w:rsidRPr="004C5E5C">
        <w:t>§</w:t>
      </w:r>
      <w:r w:rsidRPr="00132008">
        <w:t>50.24</w:t>
      </w:r>
      <w:r>
        <w:t xml:space="preserve">(7), </w:t>
      </w:r>
      <w:r w:rsidR="002B53F5" w:rsidRPr="004C5E5C">
        <w:t>§</w:t>
      </w:r>
      <w:r>
        <w:t>56.109(g)</w:t>
      </w:r>
      <w:r w:rsidRPr="00132008">
        <w:t>).</w:t>
      </w:r>
    </w:p>
    <w:p w14:paraId="2DD039CA" w14:textId="237CFEF4" w:rsidR="003826FA" w:rsidRPr="00762705" w:rsidRDefault="003826FA" w:rsidP="00392566">
      <w:pPr>
        <w:pStyle w:val="SOPLevel4"/>
      </w:pPr>
      <w:r w:rsidRPr="00132008">
        <w:t xml:space="preserve">Information that has been publicly disclosed following completion of the study involving a waiver of the consent process for planned emergency research that is FDA-regulated (21 CFR </w:t>
      </w:r>
      <w:r w:rsidR="002B53F5" w:rsidRPr="004C5E5C">
        <w:t>§</w:t>
      </w:r>
      <w:r>
        <w:t>50.24(7), 5</w:t>
      </w:r>
      <w:r w:rsidR="002B53F5" w:rsidRPr="004C5E5C">
        <w:t>§</w:t>
      </w:r>
      <w:r>
        <w:t>6.109(g)</w:t>
      </w:r>
      <w:r w:rsidRPr="00132008">
        <w:t>).</w:t>
      </w:r>
    </w:p>
    <w:p w14:paraId="607D0032" w14:textId="5C7DD843" w:rsidR="004A1AC8" w:rsidRDefault="004A1AC8" w:rsidP="004A1AC8">
      <w:pPr>
        <w:pStyle w:val="SOPLevel3"/>
        <w:numPr>
          <w:ilvl w:val="2"/>
          <w:numId w:val="12"/>
        </w:numPr>
      </w:pPr>
      <w:r>
        <w:t>Other individuals or organizations determined to be appropriate by the [HRPP Administrator], [IRB Executive Chair], or [Organizational Official]</w:t>
      </w:r>
      <w:r w:rsidR="003826FA">
        <w:t>.</w:t>
      </w:r>
    </w:p>
    <w:p w14:paraId="44073375" w14:textId="7516F748" w:rsidR="00981C16" w:rsidRDefault="009012B9" w:rsidP="00087932">
      <w:pPr>
        <w:pStyle w:val="SOPLevel2"/>
      </w:pPr>
      <w:r>
        <w:t>T</w:t>
      </w:r>
      <w:r w:rsidR="00981C16">
        <w:t xml:space="preserve">he following individuals or entities must receive notification from the </w:t>
      </w:r>
      <w:r w:rsidR="00935E9D">
        <w:t>[Organization]</w:t>
      </w:r>
      <w:r w:rsidR="00981C16">
        <w:t xml:space="preserve"> or the institution where the research is being conducted, when the notification involves an &lt;Unanticipated Problems Involving Risks to Subjects or Others&gt;, &lt;Serious Noncompliance&gt;, &lt;Continuing Noncompliance&gt;, &lt;Suspension of IRB Approval&gt;, or &lt;Termination of IRB Approval&gt;:</w:t>
      </w:r>
    </w:p>
    <w:p w14:paraId="5FAB66AB" w14:textId="77777777" w:rsidR="00051806" w:rsidRDefault="00051806" w:rsidP="00051806">
      <w:pPr>
        <w:pStyle w:val="SOPLevel3"/>
      </w:pPr>
      <w:r>
        <w:t>[Organizational Official]</w:t>
      </w:r>
    </w:p>
    <w:p w14:paraId="4D8E96A5" w14:textId="77777777" w:rsidR="00051806" w:rsidRDefault="00051806" w:rsidP="00051806">
      <w:pPr>
        <w:pStyle w:val="SOPLevel3"/>
      </w:pPr>
      <w:r>
        <w:t>Sponsor or Contract Research Organization, when the research is sponsored</w:t>
      </w:r>
    </w:p>
    <w:p w14:paraId="05ADA36D" w14:textId="0F7FBFED" w:rsidR="00CB2C28" w:rsidRDefault="00CB2C28" w:rsidP="00FA73AB">
      <w:pPr>
        <w:pStyle w:val="SOPLevel4"/>
      </w:pPr>
      <w:r>
        <w:t>This can include federal agencies and should be done in concert with research administration.</w:t>
      </w:r>
    </w:p>
    <w:p w14:paraId="50817E6C" w14:textId="77777777" w:rsidR="00740CE2" w:rsidRPr="00D1206B" w:rsidRDefault="00740CE2" w:rsidP="00740CE2">
      <w:pPr>
        <w:pStyle w:val="SOPLevel3"/>
      </w:pPr>
      <w:r w:rsidRPr="00D1206B">
        <w:t>Site Management Organization or equivalent, when the research is reviewed on behalf of such an organization.</w:t>
      </w:r>
    </w:p>
    <w:p w14:paraId="375AA7DB" w14:textId="0A55F27B" w:rsidR="00740CE2" w:rsidRPr="00D1206B" w:rsidRDefault="00740CE2" w:rsidP="00740CE2">
      <w:pPr>
        <w:pStyle w:val="SOPLevel3"/>
      </w:pPr>
      <w:r w:rsidRPr="00D1206B">
        <w:t>Institutional contact, when the research</w:t>
      </w:r>
      <w:r w:rsidR="00A029B5">
        <w:t xml:space="preserve"> is</w:t>
      </w:r>
      <w:r w:rsidRPr="00D1206B">
        <w:t xml:space="preserve"> associated with an institution</w:t>
      </w:r>
    </w:p>
    <w:p w14:paraId="2BE640BF" w14:textId="77777777" w:rsidR="00740CE2" w:rsidRPr="00D1206B" w:rsidRDefault="00740CE2" w:rsidP="00740CE2">
      <w:pPr>
        <w:pStyle w:val="SOPLevel3"/>
      </w:pPr>
      <w:r w:rsidRPr="00D1206B">
        <w:t>Agency (E.g., DOD, EPA, FDA, HHS, VA), when the research is subject to regulation by that agency and the agency requires reporting</w:t>
      </w:r>
    </w:p>
    <w:p w14:paraId="3B4E9E1A" w14:textId="77777777" w:rsidR="00740CE2" w:rsidRPr="00D1206B" w:rsidRDefault="00740CE2" w:rsidP="00740CE2">
      <w:pPr>
        <w:pStyle w:val="SOPLevel3"/>
      </w:pPr>
      <w:r w:rsidRPr="00D1206B">
        <w:t>Additional contacts, as required by any relevant agreement</w:t>
      </w:r>
    </w:p>
    <w:p w14:paraId="5214268F" w14:textId="77777777" w:rsidR="00740CE2" w:rsidRPr="00D1206B" w:rsidRDefault="00740CE2" w:rsidP="00740CE2">
      <w:pPr>
        <w:pStyle w:val="SOPLevel3"/>
      </w:pPr>
      <w:r w:rsidRPr="00D1206B">
        <w:t>The local research ethics committee or equivalent, when the research is international or collaborative research involving collaboration with a local research ethics committee or equivalent</w:t>
      </w:r>
    </w:p>
    <w:p w14:paraId="6A1810FE" w14:textId="637E01DA" w:rsidR="00740CE2" w:rsidRDefault="00740CE2" w:rsidP="00740CE2">
      <w:pPr>
        <w:pStyle w:val="SOPLevel3"/>
      </w:pPr>
      <w:r w:rsidRPr="00D1206B">
        <w:t>Other individuals or organizations determined to be appropriate by the [HRPP Administrator], [IRB Executive Chair], or [Organizational Official]</w:t>
      </w:r>
      <w:r>
        <w:t xml:space="preserve">, such as: </w:t>
      </w:r>
    </w:p>
    <w:p w14:paraId="723620B0" w14:textId="046AE453" w:rsidR="00051806" w:rsidRPr="00810580" w:rsidRDefault="00051806" w:rsidP="00810580">
      <w:pPr>
        <w:pStyle w:val="SOPLevel4"/>
      </w:pPr>
      <w:r w:rsidRPr="00810580">
        <w:t>Office responsible for oversight of the grant or contract</w:t>
      </w:r>
    </w:p>
    <w:p w14:paraId="2190FD98" w14:textId="77777777" w:rsidR="00051806" w:rsidRPr="00810580" w:rsidRDefault="00051806" w:rsidP="00810580">
      <w:pPr>
        <w:pStyle w:val="SOPLevel4"/>
      </w:pPr>
      <w:r w:rsidRPr="00810580">
        <w:t>Legal Counsel</w:t>
      </w:r>
    </w:p>
    <w:p w14:paraId="525D7B39" w14:textId="77777777" w:rsidR="00051806" w:rsidRPr="00810580" w:rsidRDefault="00051806" w:rsidP="00810580">
      <w:pPr>
        <w:pStyle w:val="SOPLevel4"/>
      </w:pPr>
      <w:r w:rsidRPr="00810580">
        <w:t>Risk Management</w:t>
      </w:r>
    </w:p>
    <w:p w14:paraId="674D0CBA" w14:textId="77777777" w:rsidR="00051806" w:rsidRPr="00810580" w:rsidRDefault="00051806" w:rsidP="00810580">
      <w:pPr>
        <w:pStyle w:val="SOPLevel4"/>
      </w:pPr>
      <w:r w:rsidRPr="00810580">
        <w:t xml:space="preserve">Privacy Officer, when the information involves unauthorized use, loss, or disclosure of individually identifiable information </w:t>
      </w:r>
    </w:p>
    <w:p w14:paraId="11EE1F4E" w14:textId="77777777" w:rsidR="00051806" w:rsidRPr="00810580" w:rsidRDefault="00051806" w:rsidP="00810580">
      <w:pPr>
        <w:pStyle w:val="SOPLevel4"/>
      </w:pPr>
      <w:r w:rsidRPr="00810580">
        <w:t>Information Security Officer, when the information involves violations of information security requirements</w:t>
      </w:r>
    </w:p>
    <w:p w14:paraId="74D525B8" w14:textId="5E6905C5" w:rsidR="00916E2D" w:rsidRDefault="00916E2D" w:rsidP="00051806">
      <w:pPr>
        <w:pStyle w:val="SOPLevel2"/>
      </w:pPr>
      <w:r>
        <w:t>Make any newly approved consent documents</w:t>
      </w:r>
      <w:r w:rsidR="008D01DC">
        <w:t>, scripts, or assent documents</w:t>
      </w:r>
      <w:r>
        <w:t xml:space="preserve"> available to the submitter. </w:t>
      </w:r>
    </w:p>
    <w:p w14:paraId="74D525B9" w14:textId="46DBED3B" w:rsidR="00256F23" w:rsidRDefault="00E91EBA" w:rsidP="001F7306">
      <w:pPr>
        <w:pStyle w:val="SOPLevel2"/>
      </w:pPr>
      <w:r>
        <w:t xml:space="preserve">Update </w:t>
      </w:r>
      <w:r w:rsidR="00B56E45">
        <w:t>&lt;Regulatory Review&gt;</w:t>
      </w:r>
      <w:r>
        <w:t xml:space="preserve"> findings as </w:t>
      </w:r>
      <w:r w:rsidR="006F3D07">
        <w:t>applicable</w:t>
      </w:r>
      <w:r>
        <w:t>.</w:t>
      </w:r>
    </w:p>
    <w:p w14:paraId="74D525BA" w14:textId="77777777" w:rsidR="0027369B" w:rsidRDefault="0027369B" w:rsidP="001F7306">
      <w:pPr>
        <w:pStyle w:val="SOPLevel1"/>
        <w:numPr>
          <w:ilvl w:val="0"/>
          <w:numId w:val="3"/>
        </w:numPr>
      </w:pPr>
      <w:r>
        <w:lastRenderedPageBreak/>
        <w:t>REFERENCES</w:t>
      </w:r>
    </w:p>
    <w:p w14:paraId="74D525BB" w14:textId="77777777" w:rsidR="0049615A" w:rsidRDefault="0049615A" w:rsidP="001F7306">
      <w:pPr>
        <w:pStyle w:val="SOPLevel2"/>
      </w:pPr>
      <w:r>
        <w:t xml:space="preserve">21 CFR </w:t>
      </w:r>
      <w:r w:rsidRPr="004C5E5C">
        <w:t>§50.54</w:t>
      </w:r>
    </w:p>
    <w:p w14:paraId="74D525BC" w14:textId="77777777" w:rsidR="006D21A8" w:rsidRDefault="0049615A" w:rsidP="001F7306">
      <w:pPr>
        <w:pStyle w:val="SOPLevel2"/>
      </w:pPr>
      <w:r>
        <w:t xml:space="preserve">45 CFR </w:t>
      </w:r>
      <w:r w:rsidRPr="004C5E5C">
        <w:t>§46.207</w:t>
      </w:r>
      <w:r>
        <w:t xml:space="preserve"> and </w:t>
      </w:r>
      <w:r w:rsidRPr="004C5E5C">
        <w:t>§46.</w:t>
      </w:r>
      <w:r>
        <w:t>4</w:t>
      </w:r>
      <w:r w:rsidRPr="004C5E5C">
        <w:t>07</w:t>
      </w:r>
    </w:p>
    <w:p w14:paraId="001537E3" w14:textId="77777777" w:rsidR="006F3D07" w:rsidRPr="009922B8" w:rsidRDefault="006F3D07" w:rsidP="006F3D07">
      <w:pPr>
        <w:pStyle w:val="SOPLevel2"/>
      </w:pPr>
      <w:r w:rsidRPr="009922B8">
        <w:t>21 CFR 50.24(e) and 21 CFR 56.109(g)</w:t>
      </w:r>
    </w:p>
    <w:p w14:paraId="78CF37F3" w14:textId="1E4412D5" w:rsidR="00A63EA4" w:rsidRDefault="00A63EA4" w:rsidP="00A63EA4">
      <w:pPr>
        <w:pStyle w:val="SOPLevel2"/>
      </w:pPr>
      <w:r>
        <w:t>DOD Instruction 3216.02</w:t>
      </w:r>
    </w:p>
    <w:p w14:paraId="67E54B3A" w14:textId="77777777" w:rsidR="00422CC7" w:rsidRDefault="00422CC7" w:rsidP="00422CC7">
      <w:pPr>
        <w:pStyle w:val="SOPLevel2"/>
        <w:pageBreakBefore/>
        <w:numPr>
          <w:ilvl w:val="1"/>
          <w:numId w:val="2"/>
        </w:numPr>
      </w:pPr>
      <w:r>
        <w:lastRenderedPageBreak/>
        <w:t>Table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422CC7" w:rsidRPr="00170C41" w14:paraId="01CA0606" w14:textId="77777777" w:rsidTr="00392566">
        <w:tc>
          <w:tcPr>
            <w:tcW w:w="4788" w:type="dxa"/>
            <w:shd w:val="clear" w:color="auto" w:fill="000000"/>
          </w:tcPr>
          <w:p w14:paraId="6283CDE1" w14:textId="77777777" w:rsidR="00422CC7" w:rsidRPr="00170C41" w:rsidRDefault="00422CC7" w:rsidP="00BA017D">
            <w:pPr>
              <w:pStyle w:val="SOPBasis"/>
              <w:keepNext/>
              <w:rPr>
                <w:b/>
              </w:rPr>
            </w:pPr>
            <w:r w:rsidRPr="00170C41">
              <w:rPr>
                <w:b/>
              </w:rPr>
              <w:t>Notification</w:t>
            </w:r>
          </w:p>
        </w:tc>
        <w:tc>
          <w:tcPr>
            <w:tcW w:w="4788" w:type="dxa"/>
            <w:shd w:val="clear" w:color="auto" w:fill="000000"/>
          </w:tcPr>
          <w:p w14:paraId="757E1A76" w14:textId="77777777" w:rsidR="00422CC7" w:rsidRPr="00170C41" w:rsidRDefault="00422CC7" w:rsidP="00BA017D">
            <w:pPr>
              <w:pStyle w:val="SOPBasis"/>
              <w:keepNext/>
              <w:rPr>
                <w:b/>
              </w:rPr>
            </w:pPr>
            <w:r w:rsidRPr="00170C41">
              <w:rPr>
                <w:b/>
              </w:rPr>
              <w:t>Template</w:t>
            </w:r>
          </w:p>
        </w:tc>
      </w:tr>
      <w:tr w:rsidR="00422CC7" w:rsidRPr="00170C41" w14:paraId="18BBC28A" w14:textId="77777777" w:rsidTr="00BA017D">
        <w:tc>
          <w:tcPr>
            <w:tcW w:w="4788" w:type="dxa"/>
            <w:shd w:val="clear" w:color="auto" w:fill="auto"/>
          </w:tcPr>
          <w:p w14:paraId="3E55D00C" w14:textId="77777777" w:rsidR="00422CC7" w:rsidRPr="00170C41" w:rsidRDefault="00422CC7" w:rsidP="00BA017D">
            <w:pPr>
              <w:pStyle w:val="SOPBasis"/>
              <w:keepNext/>
            </w:pPr>
            <w:r w:rsidRPr="00170C41">
              <w:t>Approve (with continuing review date)</w:t>
            </w:r>
          </w:p>
        </w:tc>
        <w:tc>
          <w:tcPr>
            <w:tcW w:w="4788" w:type="dxa"/>
            <w:shd w:val="clear" w:color="auto" w:fill="auto"/>
          </w:tcPr>
          <w:p w14:paraId="7D1B3B38" w14:textId="233878F9" w:rsidR="00422CC7" w:rsidRPr="00170C41" w:rsidRDefault="00106160" w:rsidP="00BA017D">
            <w:pPr>
              <w:pStyle w:val="SOPBasis"/>
              <w:keepNext/>
            </w:pPr>
            <w:r>
              <w:t>A</w:t>
            </w:r>
            <w:r w:rsidR="00422CC7" w:rsidRPr="00170C41">
              <w:t>pproval</w:t>
            </w:r>
          </w:p>
        </w:tc>
      </w:tr>
      <w:tr w:rsidR="00422CC7" w:rsidRPr="00170C41" w14:paraId="0ED69F76" w14:textId="77777777" w:rsidTr="00BA017D">
        <w:tc>
          <w:tcPr>
            <w:tcW w:w="4788" w:type="dxa"/>
            <w:shd w:val="clear" w:color="auto" w:fill="auto"/>
          </w:tcPr>
          <w:p w14:paraId="7622F0E3" w14:textId="77777777" w:rsidR="00422CC7" w:rsidRPr="00170C41" w:rsidRDefault="00422CC7" w:rsidP="00BA017D">
            <w:pPr>
              <w:pStyle w:val="SOPBasis"/>
              <w:keepNext/>
            </w:pPr>
            <w:r w:rsidRPr="00170C41">
              <w:t>Approve (with no continuing review date)</w:t>
            </w:r>
          </w:p>
        </w:tc>
        <w:tc>
          <w:tcPr>
            <w:tcW w:w="4788" w:type="dxa"/>
            <w:shd w:val="clear" w:color="auto" w:fill="auto"/>
          </w:tcPr>
          <w:p w14:paraId="35801C9E" w14:textId="4885A60C" w:rsidR="00422CC7" w:rsidRPr="00170C41" w:rsidRDefault="00106160" w:rsidP="00BA017D">
            <w:pPr>
              <w:pStyle w:val="SOPBasis"/>
              <w:keepNext/>
            </w:pPr>
            <w:r>
              <w:t>A</w:t>
            </w:r>
            <w:r w:rsidRPr="00170C41">
              <w:t>pproval</w:t>
            </w:r>
          </w:p>
        </w:tc>
      </w:tr>
      <w:tr w:rsidR="00422CC7" w:rsidRPr="00170C41" w14:paraId="0CFAAE44" w14:textId="77777777" w:rsidTr="00BA017D">
        <w:tc>
          <w:tcPr>
            <w:tcW w:w="4788" w:type="dxa"/>
            <w:shd w:val="clear" w:color="auto" w:fill="auto"/>
          </w:tcPr>
          <w:p w14:paraId="5AB01EF9" w14:textId="77777777" w:rsidR="00422CC7" w:rsidRPr="00170C41" w:rsidRDefault="00422CC7" w:rsidP="00BA017D">
            <w:pPr>
              <w:pStyle w:val="SOPBasis"/>
              <w:keepNext/>
            </w:pPr>
            <w:r w:rsidRPr="00170C41">
              <w:t>Close</w:t>
            </w:r>
          </w:p>
        </w:tc>
        <w:tc>
          <w:tcPr>
            <w:tcW w:w="4788" w:type="dxa"/>
            <w:shd w:val="clear" w:color="auto" w:fill="auto"/>
          </w:tcPr>
          <w:p w14:paraId="31A11DA2" w14:textId="144E45C5" w:rsidR="00422CC7" w:rsidRPr="00170C41" w:rsidRDefault="00106160" w:rsidP="00BA017D">
            <w:pPr>
              <w:pStyle w:val="SOPBasis"/>
              <w:keepNext/>
            </w:pPr>
            <w:r>
              <w:t>Closure</w:t>
            </w:r>
          </w:p>
        </w:tc>
      </w:tr>
      <w:tr w:rsidR="00422CC7" w:rsidRPr="00170C41" w14:paraId="5DB6F06D" w14:textId="77777777" w:rsidTr="00BA017D">
        <w:tc>
          <w:tcPr>
            <w:tcW w:w="4788" w:type="dxa"/>
            <w:shd w:val="clear" w:color="auto" w:fill="auto"/>
          </w:tcPr>
          <w:p w14:paraId="07FC1516" w14:textId="19D74AA5" w:rsidR="00422CC7" w:rsidRPr="00170C41" w:rsidRDefault="00422CC7" w:rsidP="00BA017D">
            <w:pPr>
              <w:pStyle w:val="SOPBasis"/>
              <w:keepNext/>
            </w:pPr>
            <w:r w:rsidRPr="00170C41">
              <w:t>Conditional</w:t>
            </w:r>
            <w:r w:rsidR="00106160">
              <w:t>ly</w:t>
            </w:r>
            <w:r w:rsidRPr="00170C41">
              <w:t xml:space="preserve"> Approve</w:t>
            </w:r>
          </w:p>
        </w:tc>
        <w:tc>
          <w:tcPr>
            <w:tcW w:w="4788" w:type="dxa"/>
            <w:shd w:val="clear" w:color="auto" w:fill="auto"/>
          </w:tcPr>
          <w:p w14:paraId="6CC1B12D" w14:textId="78F01DA2" w:rsidR="00422CC7" w:rsidRPr="00170C41" w:rsidRDefault="00106160" w:rsidP="00BA017D">
            <w:pPr>
              <w:pStyle w:val="SOPBasis"/>
              <w:keepNext/>
            </w:pPr>
            <w:r>
              <w:t>A</w:t>
            </w:r>
            <w:r w:rsidR="00422CC7" w:rsidRPr="00170C41">
              <w:t>pproval with conditions</w:t>
            </w:r>
          </w:p>
        </w:tc>
      </w:tr>
      <w:tr w:rsidR="00422CC7" w:rsidRPr="00170C41" w14:paraId="115A9DD9" w14:textId="77777777" w:rsidTr="00BA017D">
        <w:tc>
          <w:tcPr>
            <w:tcW w:w="4788" w:type="dxa"/>
            <w:shd w:val="clear" w:color="auto" w:fill="auto"/>
          </w:tcPr>
          <w:p w14:paraId="4E3260C9" w14:textId="2EADC783" w:rsidR="00422CC7" w:rsidRPr="00170C41" w:rsidRDefault="00422CC7" w:rsidP="00BA017D">
            <w:pPr>
              <w:pStyle w:val="SOPBasis"/>
              <w:keepNext/>
            </w:pPr>
            <w:r w:rsidRPr="00170C41">
              <w:t>Conditional</w:t>
            </w:r>
            <w:r w:rsidR="00106160">
              <w:t>ly</w:t>
            </w:r>
            <w:r w:rsidRPr="00170C41">
              <w:t xml:space="preserve"> Determine Human Research Not Engaged</w:t>
            </w:r>
          </w:p>
        </w:tc>
        <w:tc>
          <w:tcPr>
            <w:tcW w:w="4788" w:type="dxa"/>
            <w:shd w:val="clear" w:color="auto" w:fill="auto"/>
          </w:tcPr>
          <w:p w14:paraId="7DB7DB07" w14:textId="5BCBC993" w:rsidR="00422CC7" w:rsidRPr="00170C41" w:rsidRDefault="00106160" w:rsidP="00BA017D">
            <w:pPr>
              <w:pStyle w:val="SOPBasis"/>
              <w:keepNext/>
            </w:pPr>
            <w:r>
              <w:t>Determination with conditions</w:t>
            </w:r>
          </w:p>
        </w:tc>
      </w:tr>
      <w:tr w:rsidR="00422CC7" w:rsidRPr="00170C41" w14:paraId="13ABADE7" w14:textId="77777777" w:rsidTr="00BA017D">
        <w:tc>
          <w:tcPr>
            <w:tcW w:w="4788" w:type="dxa"/>
            <w:shd w:val="clear" w:color="auto" w:fill="auto"/>
          </w:tcPr>
          <w:p w14:paraId="5C663C83" w14:textId="77777777" w:rsidR="00422CC7" w:rsidRPr="00170C41" w:rsidRDefault="00422CC7" w:rsidP="00BA017D">
            <w:pPr>
              <w:pStyle w:val="SOPBasis"/>
              <w:keepNext/>
            </w:pPr>
            <w:r w:rsidRPr="00170C41">
              <w:t>Conditional Determine Not Human Research</w:t>
            </w:r>
          </w:p>
        </w:tc>
        <w:tc>
          <w:tcPr>
            <w:tcW w:w="4788" w:type="dxa"/>
            <w:shd w:val="clear" w:color="auto" w:fill="auto"/>
          </w:tcPr>
          <w:p w14:paraId="592C4DA6" w14:textId="3400F634" w:rsidR="00422CC7" w:rsidRPr="00170C41" w:rsidRDefault="00106160" w:rsidP="00BA017D">
            <w:pPr>
              <w:pStyle w:val="SOPBasis"/>
              <w:keepNext/>
            </w:pPr>
            <w:r>
              <w:t>Determination with conditions</w:t>
            </w:r>
          </w:p>
        </w:tc>
      </w:tr>
      <w:tr w:rsidR="00422CC7" w:rsidRPr="00170C41" w14:paraId="591DB521" w14:textId="77777777" w:rsidTr="00BA017D">
        <w:tc>
          <w:tcPr>
            <w:tcW w:w="4788" w:type="dxa"/>
            <w:shd w:val="clear" w:color="auto" w:fill="auto"/>
          </w:tcPr>
          <w:p w14:paraId="3C3B2D2B" w14:textId="77777777" w:rsidR="00422CC7" w:rsidRPr="00170C41" w:rsidRDefault="00422CC7" w:rsidP="00BA017D">
            <w:pPr>
              <w:pStyle w:val="SOPBasis"/>
              <w:keepNext/>
            </w:pPr>
            <w:r w:rsidRPr="00170C41">
              <w:t>Defer</w:t>
            </w:r>
          </w:p>
        </w:tc>
        <w:tc>
          <w:tcPr>
            <w:tcW w:w="4788" w:type="dxa"/>
            <w:shd w:val="clear" w:color="auto" w:fill="auto"/>
          </w:tcPr>
          <w:p w14:paraId="45409194" w14:textId="23F1EEA7" w:rsidR="00422CC7" w:rsidRPr="00170C41" w:rsidRDefault="00106160" w:rsidP="00BA017D">
            <w:pPr>
              <w:pStyle w:val="SOPBasis"/>
              <w:keepNext/>
            </w:pPr>
            <w:r>
              <w:t>D</w:t>
            </w:r>
            <w:r w:rsidR="00422CC7" w:rsidRPr="00170C41">
              <w:t>eferral</w:t>
            </w:r>
          </w:p>
        </w:tc>
      </w:tr>
      <w:tr w:rsidR="00422CC7" w:rsidRPr="00170C41" w14:paraId="7FB20C0B" w14:textId="77777777" w:rsidTr="00BA017D">
        <w:tc>
          <w:tcPr>
            <w:tcW w:w="4788" w:type="dxa"/>
            <w:shd w:val="clear" w:color="auto" w:fill="auto"/>
          </w:tcPr>
          <w:p w14:paraId="63BA8F13" w14:textId="77777777" w:rsidR="00422CC7" w:rsidRPr="00170C41" w:rsidRDefault="00422CC7" w:rsidP="00BA017D">
            <w:pPr>
              <w:pStyle w:val="SOPBasis"/>
              <w:keepNext/>
            </w:pPr>
            <w:r w:rsidRPr="00170C41">
              <w:t>Disapprove</w:t>
            </w:r>
          </w:p>
        </w:tc>
        <w:tc>
          <w:tcPr>
            <w:tcW w:w="4788" w:type="dxa"/>
            <w:shd w:val="clear" w:color="auto" w:fill="auto"/>
          </w:tcPr>
          <w:p w14:paraId="070FAED0" w14:textId="135D3445" w:rsidR="00422CC7" w:rsidRPr="00170C41" w:rsidRDefault="00106160" w:rsidP="00BA017D">
            <w:pPr>
              <w:pStyle w:val="SOPBasis"/>
              <w:keepNext/>
            </w:pPr>
            <w:r>
              <w:t>D</w:t>
            </w:r>
            <w:r w:rsidR="00422CC7" w:rsidRPr="00170C41">
              <w:t>isapproval</w:t>
            </w:r>
          </w:p>
        </w:tc>
      </w:tr>
      <w:tr w:rsidR="00422CC7" w:rsidRPr="00170C41" w14:paraId="38959C48" w14:textId="77777777" w:rsidTr="00BA017D">
        <w:tc>
          <w:tcPr>
            <w:tcW w:w="4788" w:type="dxa"/>
            <w:shd w:val="clear" w:color="auto" w:fill="auto"/>
          </w:tcPr>
          <w:p w14:paraId="6C8501D2" w14:textId="77777777" w:rsidR="00422CC7" w:rsidRPr="00170C41" w:rsidRDefault="00422CC7" w:rsidP="00BA017D">
            <w:pPr>
              <w:pStyle w:val="SOPBasis"/>
              <w:keepNext/>
            </w:pPr>
            <w:r w:rsidRPr="00170C41">
              <w:t>Expired</w:t>
            </w:r>
          </w:p>
        </w:tc>
        <w:tc>
          <w:tcPr>
            <w:tcW w:w="4788" w:type="dxa"/>
            <w:shd w:val="clear" w:color="auto" w:fill="auto"/>
          </w:tcPr>
          <w:p w14:paraId="45A3D0FF" w14:textId="79AAE5FF" w:rsidR="00422CC7" w:rsidRPr="00170C41" w:rsidRDefault="00106160" w:rsidP="00BA017D">
            <w:pPr>
              <w:pStyle w:val="SOPBasis"/>
              <w:keepNext/>
            </w:pPr>
            <w:r>
              <w:t>Expired</w:t>
            </w:r>
          </w:p>
        </w:tc>
      </w:tr>
      <w:tr w:rsidR="00422CC7" w:rsidRPr="00170C41" w14:paraId="1A5522A1" w14:textId="77777777" w:rsidTr="00BA017D">
        <w:tc>
          <w:tcPr>
            <w:tcW w:w="4788" w:type="dxa"/>
            <w:shd w:val="clear" w:color="auto" w:fill="auto"/>
          </w:tcPr>
          <w:p w14:paraId="5E99413C" w14:textId="77777777" w:rsidR="00422CC7" w:rsidRPr="00170C41" w:rsidRDefault="00422CC7" w:rsidP="00BA017D">
            <w:pPr>
              <w:pStyle w:val="SOPBasis"/>
              <w:keepNext/>
            </w:pPr>
            <w:r w:rsidRPr="00170C41">
              <w:t>Human Research Not Engaged</w:t>
            </w:r>
          </w:p>
        </w:tc>
        <w:tc>
          <w:tcPr>
            <w:tcW w:w="4788" w:type="dxa"/>
            <w:shd w:val="clear" w:color="auto" w:fill="auto"/>
          </w:tcPr>
          <w:p w14:paraId="386874C9" w14:textId="2C466AEA" w:rsidR="00422CC7" w:rsidRPr="00170C41" w:rsidRDefault="00106160" w:rsidP="00BA017D">
            <w:pPr>
              <w:pStyle w:val="SOPBasis"/>
              <w:keepNext/>
            </w:pPr>
            <w:r>
              <w:t>Not engaged</w:t>
            </w:r>
          </w:p>
        </w:tc>
      </w:tr>
      <w:tr w:rsidR="00422CC7" w:rsidRPr="00170C41" w14:paraId="6FAACB82" w14:textId="77777777" w:rsidTr="00BA017D">
        <w:tc>
          <w:tcPr>
            <w:tcW w:w="4788" w:type="dxa"/>
            <w:shd w:val="clear" w:color="auto" w:fill="auto"/>
          </w:tcPr>
          <w:p w14:paraId="4F1E4BA3" w14:textId="77777777" w:rsidR="00422CC7" w:rsidRPr="00170C41" w:rsidRDefault="00422CC7" w:rsidP="00BA017D">
            <w:pPr>
              <w:pStyle w:val="SOPBasis"/>
              <w:keepNext/>
            </w:pPr>
            <w:r w:rsidRPr="00170C41">
              <w:t>Lift Suspension</w:t>
            </w:r>
          </w:p>
        </w:tc>
        <w:tc>
          <w:tcPr>
            <w:tcW w:w="4788" w:type="dxa"/>
            <w:shd w:val="clear" w:color="auto" w:fill="auto"/>
          </w:tcPr>
          <w:p w14:paraId="58487B30" w14:textId="6975C533" w:rsidR="00422CC7" w:rsidRPr="00170C41" w:rsidRDefault="00106160" w:rsidP="00BA017D">
            <w:pPr>
              <w:pStyle w:val="SOPBasis"/>
              <w:keepNext/>
            </w:pPr>
            <w:r>
              <w:t>L</w:t>
            </w:r>
            <w:r w:rsidR="00422CC7" w:rsidRPr="00170C41">
              <w:t>ifting of suspension</w:t>
            </w:r>
          </w:p>
        </w:tc>
      </w:tr>
      <w:tr w:rsidR="00422CC7" w:rsidRPr="00170C41" w14:paraId="048A72AF" w14:textId="77777777" w:rsidTr="00BA017D">
        <w:tc>
          <w:tcPr>
            <w:tcW w:w="4788" w:type="dxa"/>
            <w:shd w:val="clear" w:color="auto" w:fill="auto"/>
          </w:tcPr>
          <w:p w14:paraId="064E29B9" w14:textId="77777777" w:rsidR="00422CC7" w:rsidRPr="00170C41" w:rsidRDefault="00422CC7" w:rsidP="00BA017D">
            <w:pPr>
              <w:pStyle w:val="SOPBasis"/>
              <w:keepNext/>
            </w:pPr>
            <w:r w:rsidRPr="00170C41">
              <w:t>Not Human Research</w:t>
            </w:r>
          </w:p>
        </w:tc>
        <w:tc>
          <w:tcPr>
            <w:tcW w:w="4788" w:type="dxa"/>
            <w:shd w:val="clear" w:color="auto" w:fill="auto"/>
          </w:tcPr>
          <w:p w14:paraId="391F65A0" w14:textId="3017A293" w:rsidR="00422CC7" w:rsidRPr="00170C41" w:rsidRDefault="00422CC7" w:rsidP="00106160">
            <w:pPr>
              <w:pStyle w:val="SOPBasis"/>
              <w:keepNext/>
            </w:pPr>
            <w:r w:rsidRPr="00170C41">
              <w:t xml:space="preserve">Not Human Subject Research </w:t>
            </w:r>
            <w:r w:rsidR="00106160">
              <w:t>Letter</w:t>
            </w:r>
          </w:p>
        </w:tc>
      </w:tr>
      <w:tr w:rsidR="00422CC7" w:rsidRPr="00170C41" w14:paraId="2B9B5AF3" w14:textId="77777777" w:rsidTr="00BA017D">
        <w:tc>
          <w:tcPr>
            <w:tcW w:w="4788" w:type="dxa"/>
            <w:shd w:val="clear" w:color="auto" w:fill="auto"/>
          </w:tcPr>
          <w:p w14:paraId="4E5E68F5" w14:textId="77777777" w:rsidR="00422CC7" w:rsidRPr="00170C41" w:rsidRDefault="00422CC7" w:rsidP="00BA017D">
            <w:pPr>
              <w:pStyle w:val="SOPBasis"/>
              <w:keepNext/>
            </w:pPr>
            <w:r w:rsidRPr="00170C41">
              <w:t>Suspend</w:t>
            </w:r>
          </w:p>
        </w:tc>
        <w:tc>
          <w:tcPr>
            <w:tcW w:w="4788" w:type="dxa"/>
            <w:shd w:val="clear" w:color="auto" w:fill="auto"/>
          </w:tcPr>
          <w:p w14:paraId="16ED607D" w14:textId="15C4BCE5" w:rsidR="00422CC7" w:rsidRPr="00170C41" w:rsidRDefault="00106160" w:rsidP="00BA017D">
            <w:pPr>
              <w:pStyle w:val="SOPBasis"/>
              <w:keepNext/>
            </w:pPr>
            <w:r>
              <w:t>Suspension of IRB approval</w:t>
            </w:r>
          </w:p>
        </w:tc>
      </w:tr>
      <w:tr w:rsidR="00106160" w:rsidRPr="00170C41" w14:paraId="41EE8EAF" w14:textId="77777777" w:rsidTr="00BA017D">
        <w:tc>
          <w:tcPr>
            <w:tcW w:w="4788" w:type="dxa"/>
            <w:shd w:val="clear" w:color="auto" w:fill="auto"/>
          </w:tcPr>
          <w:p w14:paraId="01FCF752" w14:textId="77777777" w:rsidR="00106160" w:rsidRPr="00170C41" w:rsidRDefault="00106160" w:rsidP="00106160">
            <w:pPr>
              <w:pStyle w:val="SOPBasis"/>
              <w:keepNext/>
            </w:pPr>
            <w:r w:rsidRPr="00170C41">
              <w:t>Terminate</w:t>
            </w:r>
          </w:p>
        </w:tc>
        <w:tc>
          <w:tcPr>
            <w:tcW w:w="4788" w:type="dxa"/>
            <w:shd w:val="clear" w:color="auto" w:fill="auto"/>
          </w:tcPr>
          <w:p w14:paraId="60A8AC80" w14:textId="672D14A4" w:rsidR="00106160" w:rsidRPr="00170C41" w:rsidRDefault="00106160" w:rsidP="00106160">
            <w:pPr>
              <w:pStyle w:val="SOPBasis"/>
              <w:keepNext/>
            </w:pPr>
            <w:r>
              <w:t>Termination of IRB approval</w:t>
            </w:r>
          </w:p>
        </w:tc>
      </w:tr>
      <w:tr w:rsidR="00422CC7" w:rsidRPr="00170C41" w14:paraId="2F4216BE" w14:textId="77777777" w:rsidTr="00BA017D">
        <w:tc>
          <w:tcPr>
            <w:tcW w:w="4788" w:type="dxa"/>
            <w:shd w:val="clear" w:color="auto" w:fill="auto"/>
          </w:tcPr>
          <w:p w14:paraId="50EB61A3" w14:textId="77777777" w:rsidR="00422CC7" w:rsidRPr="00170C41" w:rsidRDefault="00422CC7" w:rsidP="00BA017D">
            <w:pPr>
              <w:pStyle w:val="SOPBasis"/>
              <w:keepNext/>
            </w:pPr>
            <w:r w:rsidRPr="00170C41">
              <w:t>Information Item</w:t>
            </w:r>
          </w:p>
        </w:tc>
        <w:tc>
          <w:tcPr>
            <w:tcW w:w="4788" w:type="dxa"/>
            <w:shd w:val="clear" w:color="auto" w:fill="auto"/>
          </w:tcPr>
          <w:p w14:paraId="710D88B2" w14:textId="477DD190" w:rsidR="00422CC7" w:rsidRPr="00170C41" w:rsidRDefault="00106160" w:rsidP="00BA017D">
            <w:pPr>
              <w:pStyle w:val="SOPBasis"/>
              <w:keepNext/>
            </w:pPr>
            <w:r>
              <w:t>A</w:t>
            </w:r>
            <w:r w:rsidR="00422CC7" w:rsidRPr="00170C41">
              <w:t>cknowledgement letter</w:t>
            </w:r>
          </w:p>
        </w:tc>
      </w:tr>
      <w:tr w:rsidR="00422CC7" w:rsidRPr="00170C41" w14:paraId="78474CF5" w14:textId="77777777" w:rsidTr="00BA017D">
        <w:tc>
          <w:tcPr>
            <w:tcW w:w="4788" w:type="dxa"/>
            <w:shd w:val="clear" w:color="auto" w:fill="auto"/>
          </w:tcPr>
          <w:p w14:paraId="156F3717" w14:textId="77777777" w:rsidR="00422CC7" w:rsidRPr="00170C41" w:rsidRDefault="00422CC7" w:rsidP="00BA017D">
            <w:pPr>
              <w:pStyle w:val="SOPBasis"/>
              <w:keepNext/>
            </w:pPr>
            <w:r w:rsidRPr="00170C41">
              <w:t>Information Item determined to be:</w:t>
            </w:r>
          </w:p>
          <w:p w14:paraId="66A12C71" w14:textId="77777777" w:rsidR="00422CC7" w:rsidRPr="00170C41" w:rsidRDefault="00422CC7" w:rsidP="00BA017D">
            <w:pPr>
              <w:pStyle w:val="SOPBasis"/>
              <w:keepNext/>
              <w:numPr>
                <w:ilvl w:val="0"/>
                <w:numId w:val="5"/>
              </w:numPr>
            </w:pPr>
            <w:r w:rsidRPr="00170C41">
              <w:t>&lt;Continuing Noncompliance&gt;</w:t>
            </w:r>
          </w:p>
          <w:p w14:paraId="5032E901" w14:textId="77777777" w:rsidR="00422CC7" w:rsidRPr="00170C41" w:rsidRDefault="00422CC7" w:rsidP="00BA017D">
            <w:pPr>
              <w:pStyle w:val="SOPBasis"/>
              <w:keepNext/>
              <w:numPr>
                <w:ilvl w:val="0"/>
                <w:numId w:val="5"/>
              </w:numPr>
            </w:pPr>
            <w:r w:rsidRPr="00170C41">
              <w:t>&lt;Serious Noncompliance&gt;</w:t>
            </w:r>
          </w:p>
          <w:p w14:paraId="4C21B22A" w14:textId="77777777" w:rsidR="00422CC7" w:rsidRPr="00170C41" w:rsidRDefault="00422CC7" w:rsidP="00BA017D">
            <w:pPr>
              <w:pStyle w:val="SOPBasis"/>
              <w:keepNext/>
              <w:numPr>
                <w:ilvl w:val="0"/>
                <w:numId w:val="5"/>
              </w:numPr>
            </w:pPr>
            <w:r w:rsidRPr="00170C41">
              <w:t>&lt;Suspension of IRB Approval&gt;</w:t>
            </w:r>
          </w:p>
          <w:p w14:paraId="43BCD730" w14:textId="77777777" w:rsidR="00422CC7" w:rsidRPr="00170C41" w:rsidRDefault="00422CC7" w:rsidP="00BA017D">
            <w:pPr>
              <w:pStyle w:val="SOPBasis"/>
              <w:keepNext/>
              <w:numPr>
                <w:ilvl w:val="0"/>
                <w:numId w:val="5"/>
              </w:numPr>
            </w:pPr>
            <w:r w:rsidRPr="00170C41">
              <w:t>&lt;Termination of IRB Approval&gt;</w:t>
            </w:r>
          </w:p>
          <w:p w14:paraId="3E9835C9" w14:textId="77777777" w:rsidR="00422CC7" w:rsidRPr="00170C41" w:rsidRDefault="00422CC7" w:rsidP="00BA017D">
            <w:pPr>
              <w:pStyle w:val="SOPBasis"/>
              <w:keepNext/>
              <w:numPr>
                <w:ilvl w:val="0"/>
                <w:numId w:val="5"/>
              </w:numPr>
            </w:pPr>
            <w:r w:rsidRPr="00170C41">
              <w:t>&lt;Unanticipated Problems Involving Risks to Subjects or Others&gt;</w:t>
            </w:r>
          </w:p>
        </w:tc>
        <w:tc>
          <w:tcPr>
            <w:tcW w:w="4788" w:type="dxa"/>
            <w:shd w:val="clear" w:color="auto" w:fill="auto"/>
          </w:tcPr>
          <w:p w14:paraId="09F8FFCD" w14:textId="05554BFC" w:rsidR="00422CC7" w:rsidRDefault="00106160" w:rsidP="00BA017D">
            <w:pPr>
              <w:pStyle w:val="SOPBasis"/>
              <w:keepNext/>
            </w:pPr>
            <w:r>
              <w:t>External Report</w:t>
            </w:r>
          </w:p>
          <w:p w14:paraId="6C75A4FC" w14:textId="45FA7FEB" w:rsidR="00106160" w:rsidRPr="00170C41" w:rsidRDefault="00106160" w:rsidP="00BA017D">
            <w:pPr>
              <w:pStyle w:val="SOPBasis"/>
              <w:keepNext/>
            </w:pPr>
            <w:r>
              <w:t>Internal Report</w:t>
            </w:r>
          </w:p>
        </w:tc>
      </w:tr>
      <w:tr w:rsidR="00422CC7" w:rsidRPr="00170C41" w14:paraId="52BC1EEA" w14:textId="77777777" w:rsidTr="00BA017D">
        <w:tc>
          <w:tcPr>
            <w:tcW w:w="4788" w:type="dxa"/>
            <w:shd w:val="clear" w:color="auto" w:fill="auto"/>
          </w:tcPr>
          <w:p w14:paraId="6260451E" w14:textId="77777777" w:rsidR="00422CC7" w:rsidRPr="00170C41" w:rsidRDefault="00422CC7" w:rsidP="00BA017D">
            <w:pPr>
              <w:pStyle w:val="SOPBasis"/>
              <w:keepNext/>
            </w:pPr>
            <w:r w:rsidRPr="00170C41">
              <w:t>Waiver of HIPAA Authorization</w:t>
            </w:r>
          </w:p>
        </w:tc>
        <w:tc>
          <w:tcPr>
            <w:tcW w:w="4788" w:type="dxa"/>
            <w:shd w:val="clear" w:color="auto" w:fill="auto"/>
          </w:tcPr>
          <w:p w14:paraId="22488251" w14:textId="16BD1D5B" w:rsidR="00422CC7" w:rsidRPr="00170C41" w:rsidRDefault="00422CC7" w:rsidP="00BA017D">
            <w:pPr>
              <w:pStyle w:val="SOPBasis"/>
              <w:keepNext/>
            </w:pPr>
            <w:r w:rsidRPr="00170C41">
              <w:t xml:space="preserve">HIPAA Waiver </w:t>
            </w:r>
          </w:p>
        </w:tc>
      </w:tr>
      <w:tr w:rsidR="001C7A95" w:rsidRPr="00170C41" w14:paraId="18961E5E" w14:textId="77777777" w:rsidTr="00BA017D">
        <w:tc>
          <w:tcPr>
            <w:tcW w:w="4788" w:type="dxa"/>
            <w:shd w:val="clear" w:color="auto" w:fill="auto"/>
          </w:tcPr>
          <w:p w14:paraId="15FAC769" w14:textId="77777777" w:rsidR="001C7A95" w:rsidRPr="00170C41" w:rsidRDefault="001C7A95" w:rsidP="001C7A95">
            <w:pPr>
              <w:pStyle w:val="SOPBasis"/>
              <w:keepNext/>
            </w:pPr>
            <w:r w:rsidRPr="00170C41">
              <w:t>Notification to OHRP of approval of waiver of consent for planned emergency research</w:t>
            </w:r>
          </w:p>
        </w:tc>
        <w:tc>
          <w:tcPr>
            <w:tcW w:w="4788" w:type="dxa"/>
            <w:shd w:val="clear" w:color="auto" w:fill="auto"/>
          </w:tcPr>
          <w:p w14:paraId="66885E4A" w14:textId="22C48859" w:rsidR="001C7A95" w:rsidRPr="00170C41" w:rsidRDefault="001C7A95" w:rsidP="001C7A95">
            <w:pPr>
              <w:pStyle w:val="SOPBasis"/>
              <w:keepNext/>
            </w:pPr>
            <w:r>
              <w:t xml:space="preserve">Notification </w:t>
            </w:r>
            <w:r w:rsidRPr="00170C41">
              <w:t>of approval of waiver of consent for planned emergency research</w:t>
            </w:r>
          </w:p>
        </w:tc>
      </w:tr>
      <w:tr w:rsidR="00422CC7" w:rsidRPr="00170C41" w14:paraId="49BF29E5" w14:textId="77777777" w:rsidTr="00BA017D">
        <w:tc>
          <w:tcPr>
            <w:tcW w:w="4788" w:type="dxa"/>
            <w:shd w:val="clear" w:color="auto" w:fill="auto"/>
          </w:tcPr>
          <w:p w14:paraId="5217BBB0" w14:textId="77777777" w:rsidR="00422CC7" w:rsidRPr="00170C41" w:rsidRDefault="00422CC7" w:rsidP="00BA017D">
            <w:pPr>
              <w:pStyle w:val="SOPBasis"/>
              <w:keepNext/>
            </w:pPr>
            <w:r w:rsidRPr="00170C41">
              <w:t>Request for FDA or OHRP review of Not Otherwise Approval Research</w:t>
            </w:r>
          </w:p>
        </w:tc>
        <w:tc>
          <w:tcPr>
            <w:tcW w:w="4788" w:type="dxa"/>
            <w:shd w:val="clear" w:color="auto" w:fill="auto"/>
          </w:tcPr>
          <w:p w14:paraId="738829F9" w14:textId="68AF77CD" w:rsidR="00422CC7" w:rsidRPr="00170C41" w:rsidRDefault="00106160" w:rsidP="00BA017D">
            <w:pPr>
              <w:pStyle w:val="SOPBasis"/>
              <w:keepNext/>
            </w:pPr>
            <w:r>
              <w:t>N</w:t>
            </w:r>
            <w:r w:rsidR="00422CC7" w:rsidRPr="00170C41">
              <w:t>otification of not otherwise approvable research</w:t>
            </w:r>
          </w:p>
        </w:tc>
      </w:tr>
      <w:tr w:rsidR="00422CC7" w:rsidRPr="00170C41" w14:paraId="25DFF3DA" w14:textId="77777777" w:rsidTr="00392566">
        <w:tc>
          <w:tcPr>
            <w:tcW w:w="4788" w:type="dxa"/>
            <w:shd w:val="clear" w:color="auto" w:fill="auto"/>
          </w:tcPr>
          <w:p w14:paraId="45B71A85" w14:textId="77777777" w:rsidR="00422CC7" w:rsidRPr="00170C41" w:rsidRDefault="00422CC7" w:rsidP="00BA017D">
            <w:pPr>
              <w:pStyle w:val="SOPBasis"/>
              <w:keepNext/>
            </w:pPr>
            <w:r w:rsidRPr="00170C41">
              <w:t>Request for NSR determined to be SR</w:t>
            </w:r>
          </w:p>
        </w:tc>
        <w:tc>
          <w:tcPr>
            <w:tcW w:w="4788" w:type="dxa"/>
            <w:shd w:val="clear" w:color="auto" w:fill="auto"/>
          </w:tcPr>
          <w:p w14:paraId="1C81427A" w14:textId="77777777" w:rsidR="00422CC7" w:rsidRPr="00170C41" w:rsidRDefault="00422CC7" w:rsidP="00BA017D">
            <w:pPr>
              <w:pStyle w:val="SOPBasis"/>
              <w:keepNext/>
            </w:pPr>
            <w:r w:rsidRPr="00170C41">
              <w:t>Significant Risk Device Determination</w:t>
            </w:r>
          </w:p>
        </w:tc>
      </w:tr>
      <w:tr w:rsidR="00422CC7" w:rsidRPr="00170C41" w14:paraId="5CF84350" w14:textId="77777777" w:rsidTr="00392566">
        <w:tc>
          <w:tcPr>
            <w:tcW w:w="4788" w:type="dxa"/>
            <w:shd w:val="clear" w:color="auto" w:fill="auto"/>
          </w:tcPr>
          <w:p w14:paraId="1B9AA825" w14:textId="77777777" w:rsidR="00422CC7" w:rsidRPr="00170C41" w:rsidRDefault="00422CC7" w:rsidP="00BA017D">
            <w:pPr>
              <w:pStyle w:val="SOPBasis"/>
              <w:keepNext/>
            </w:pPr>
            <w:r w:rsidRPr="00170C41">
              <w:t>Request for OHRP certification of prisoner research</w:t>
            </w:r>
          </w:p>
        </w:tc>
        <w:tc>
          <w:tcPr>
            <w:tcW w:w="4788" w:type="dxa"/>
            <w:shd w:val="clear" w:color="auto" w:fill="auto"/>
          </w:tcPr>
          <w:p w14:paraId="173164E4" w14:textId="77777777" w:rsidR="00422CC7" w:rsidRPr="00170C41" w:rsidRDefault="00422CC7" w:rsidP="00BA017D">
            <w:pPr>
              <w:pStyle w:val="SOPBasis"/>
              <w:keepNext/>
            </w:pPr>
            <w:r w:rsidRPr="00170C41">
              <w:t>Certification of Prisoner Research</w:t>
            </w:r>
          </w:p>
        </w:tc>
      </w:tr>
      <w:tr w:rsidR="00422CC7" w:rsidRPr="00170C41" w14:paraId="19484527" w14:textId="77777777" w:rsidTr="00BA017D">
        <w:tc>
          <w:tcPr>
            <w:tcW w:w="4788" w:type="dxa"/>
            <w:shd w:val="clear" w:color="auto" w:fill="auto"/>
          </w:tcPr>
          <w:p w14:paraId="3B3B2EA7" w14:textId="2E93D987" w:rsidR="00422CC7" w:rsidRPr="00170C41" w:rsidRDefault="00422CC7" w:rsidP="00BA017D">
            <w:pPr>
              <w:pStyle w:val="SOPBasis"/>
              <w:keepNext/>
            </w:pPr>
            <w:r w:rsidRPr="00170C41">
              <w:t>Emergency</w:t>
            </w:r>
            <w:r w:rsidR="00E63270">
              <w:t>/Compassionate</w:t>
            </w:r>
            <w:r w:rsidRPr="00170C41">
              <w:t xml:space="preserve"> Use</w:t>
            </w:r>
          </w:p>
        </w:tc>
        <w:tc>
          <w:tcPr>
            <w:tcW w:w="4788" w:type="dxa"/>
            <w:shd w:val="clear" w:color="auto" w:fill="auto"/>
          </w:tcPr>
          <w:p w14:paraId="6879874B" w14:textId="790CD2A7" w:rsidR="00422CC7" w:rsidRPr="00170C41" w:rsidRDefault="00422CC7" w:rsidP="00106160">
            <w:pPr>
              <w:pStyle w:val="SOPBasis"/>
              <w:keepNext/>
            </w:pPr>
            <w:r w:rsidRPr="00170C41">
              <w:t>Emergency</w:t>
            </w:r>
            <w:r w:rsidR="00E63270">
              <w:t>/Compassionate</w:t>
            </w:r>
            <w:r w:rsidRPr="00170C41">
              <w:t xml:space="preserve"> use</w:t>
            </w:r>
          </w:p>
        </w:tc>
      </w:tr>
    </w:tbl>
    <w:p w14:paraId="0F99421B" w14:textId="77777777" w:rsidR="00422CC7" w:rsidRDefault="00422CC7" w:rsidP="00422CC7">
      <w:pPr>
        <w:pStyle w:val="SOPLevel2"/>
        <w:numPr>
          <w:ilvl w:val="0"/>
          <w:numId w:val="0"/>
        </w:numPr>
      </w:pPr>
    </w:p>
    <w:sectPr w:rsidR="00422CC7" w:rsidSect="0093159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5027B" w14:textId="77777777" w:rsidR="005C3847" w:rsidRDefault="005C3847" w:rsidP="0093159B">
      <w:pPr>
        <w:spacing w:after="0" w:line="240" w:lineRule="auto"/>
      </w:pPr>
      <w:r>
        <w:separator/>
      </w:r>
    </w:p>
  </w:endnote>
  <w:endnote w:type="continuationSeparator" w:id="0">
    <w:p w14:paraId="77D85BF4" w14:textId="77777777" w:rsidR="005C3847" w:rsidRDefault="005C3847" w:rsidP="0093159B">
      <w:pPr>
        <w:spacing w:after="0" w:line="240" w:lineRule="auto"/>
      </w:pPr>
      <w:r>
        <w:continuationSeparator/>
      </w:r>
    </w:p>
  </w:endnote>
  <w:endnote w:type="continuationNotice" w:id="1">
    <w:p w14:paraId="0CCB9F31" w14:textId="77777777" w:rsidR="005C3847" w:rsidRDefault="005C384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B33F1" w14:textId="77777777" w:rsidR="007E5E58" w:rsidRDefault="007E5E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5263D" w14:textId="284F2A90" w:rsidR="00956356" w:rsidRPr="00E3793E" w:rsidRDefault="00C47EC5" w:rsidP="00E3793E">
    <w:pPr>
      <w:pStyle w:val="SOPFooter"/>
    </w:pPr>
    <w:r>
      <w:rPr>
        <w:rFonts w:ascii="Arial Narrow" w:hAnsi="Arial Narrow"/>
      </w:rPr>
      <w:t xml:space="preserve">This work is licensed by </w:t>
    </w:r>
    <w:hyperlink r:id="rId1" w:history="1">
      <w:r>
        <w:rPr>
          <w:rStyle w:val="Hyperlink"/>
          <w:rFonts w:ascii="Arial Narrow" w:hAnsi="Arial Narrow"/>
        </w:rPr>
        <w:t>WIRB Copernicus Group, Inc.</w:t>
      </w:r>
    </w:hyperlink>
    <w:r>
      <w:rPr>
        <w:rFonts w:ascii="Arial Narrow" w:hAnsi="Arial Narrow"/>
      </w:rPr>
      <w:t xml:space="preserve"> under a </w:t>
    </w:r>
    <w:hyperlink r:id="rId2" w:history="1">
      <w:r>
        <w:rPr>
          <w:rStyle w:val="Hyperlink"/>
          <w:rFonts w:ascii="Arial Narrow" w:hAnsi="Arial Narrow"/>
        </w:rPr>
        <w:t>Creative Commons Attribution-NonCommercial-ShareAlike 4.0 International License</w:t>
      </w:r>
    </w:hyperlink>
    <w:r>
      <w:rPr>
        <w:rFonts w:ascii="Arial Narrow" w:hAnsi="Arial Narrow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2F4A3" w14:textId="77777777" w:rsidR="007E5E58" w:rsidRDefault="007E5E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A5014" w14:textId="77777777" w:rsidR="005C3847" w:rsidRDefault="005C3847" w:rsidP="0093159B">
      <w:pPr>
        <w:spacing w:after="0" w:line="240" w:lineRule="auto"/>
      </w:pPr>
      <w:r>
        <w:separator/>
      </w:r>
    </w:p>
  </w:footnote>
  <w:footnote w:type="continuationSeparator" w:id="0">
    <w:p w14:paraId="0E5B1ADB" w14:textId="77777777" w:rsidR="005C3847" w:rsidRDefault="005C3847" w:rsidP="0093159B">
      <w:pPr>
        <w:spacing w:after="0" w:line="240" w:lineRule="auto"/>
      </w:pPr>
      <w:r>
        <w:continuationSeparator/>
      </w:r>
    </w:p>
  </w:footnote>
  <w:footnote w:type="continuationNotice" w:id="1">
    <w:p w14:paraId="280C5D18" w14:textId="77777777" w:rsidR="005C3847" w:rsidRDefault="005C3847">
      <w:pPr>
        <w:spacing w:after="0" w:line="240" w:lineRule="auto"/>
      </w:pPr>
    </w:p>
  </w:footnote>
  <w:footnote w:id="2">
    <w:p w14:paraId="68397AB1" w14:textId="1347D417" w:rsidR="00981C16" w:rsidRDefault="00981C16" w:rsidP="00981C16">
      <w:pPr>
        <w:pStyle w:val="FootnoteText"/>
      </w:pPr>
      <w:r>
        <w:rPr>
          <w:rStyle w:val="FootnoteReference"/>
        </w:rPr>
        <w:footnoteRef/>
      </w:r>
      <w:r>
        <w:t xml:space="preserve"> Send to the Human Research Protections Officer (HRPO) of the DOD component, which is the individual who is delegated the responsibilities as defined in paragraph </w:t>
      </w:r>
      <w:r w:rsidR="00B76B0E">
        <w:t>48 CFR</w:t>
      </w:r>
      <w:r>
        <w:t xml:space="preserve"> 252</w:t>
      </w:r>
      <w:r w:rsidR="00E1471D">
        <w:t>.235</w:t>
      </w:r>
      <w:r>
        <w:t>. There may be more than one HRPO in a DOD Component. Some DOD Components may use a different title for the person(s) with the defined responsibilities.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0E63A" w14:textId="77777777" w:rsidR="007E5E58" w:rsidRDefault="007E5E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1"/>
      <w:tblW w:w="5000" w:type="pct"/>
      <w:tblLayout w:type="fixed"/>
      <w:tblLook w:val="04A0" w:firstRow="1" w:lastRow="0" w:firstColumn="1" w:lastColumn="0" w:noHBand="0" w:noVBand="1"/>
    </w:tblPr>
    <w:tblGrid>
      <w:gridCol w:w="3399"/>
      <w:gridCol w:w="1489"/>
      <w:gridCol w:w="1489"/>
      <w:gridCol w:w="1489"/>
      <w:gridCol w:w="1489"/>
    </w:tblGrid>
    <w:tr w:rsidR="00AE3DBE" w:rsidRPr="0071612A" w14:paraId="74D5262A" w14:textId="77777777" w:rsidTr="009D5E48">
      <w:trPr>
        <w:cantSplit/>
        <w:trHeight w:hRule="exact" w:val="720"/>
      </w:trPr>
      <w:tc>
        <w:tcPr>
          <w:tcW w:w="3484" w:type="dxa"/>
          <w:vMerge w:val="restart"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  <w:vAlign w:val="center"/>
          <w:hideMark/>
        </w:tcPr>
        <w:p w14:paraId="74D52628" w14:textId="1B833524" w:rsidR="00AE3DBE" w:rsidRPr="0071612A" w:rsidRDefault="00375546" w:rsidP="00725F88">
          <w:pPr>
            <w:tabs>
              <w:tab w:val="right" w:pos="2178"/>
            </w:tabs>
            <w:jc w:val="center"/>
            <w:rPr>
              <w:rFonts w:ascii="Arial" w:hAnsi="Arial" w:cs="Arial"/>
              <w:b/>
              <w:bCs/>
              <w:color w:val="FFFFFF" w:themeColor="background1"/>
            </w:rPr>
          </w:pPr>
          <w:r>
            <w:rPr>
              <w:rFonts w:ascii="Arial" w:hAnsi="Arial" w:cs="Arial"/>
              <w:b/>
              <w:bCs/>
              <w:noProof/>
              <w:color w:val="FFFFFF" w:themeColor="background1"/>
            </w:rPr>
            <w:drawing>
              <wp:inline distT="0" distB="0" distL="0" distR="0" wp14:anchorId="139A701C" wp14:editId="77C38AFB">
                <wp:extent cx="1792514" cy="566057"/>
                <wp:effectExtent l="0" t="0" r="0" b="5715"/>
                <wp:docPr id="1" name="Picture 1" descr="A drawing of a fac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TU_Primary_Red_Black_jpg (1)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0465" cy="5811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2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4D52629" w14:textId="77777777" w:rsidR="00AE3DBE" w:rsidRPr="0071612A" w:rsidRDefault="00AE3DBE" w:rsidP="00725F88">
          <w:pPr>
            <w:rPr>
              <w:rFonts w:ascii="Arial" w:hAnsi="Arial" w:cs="Arial"/>
              <w:b/>
              <w:bCs/>
              <w:sz w:val="28"/>
              <w:szCs w:val="28"/>
            </w:rPr>
          </w:pPr>
          <w:r w:rsidRPr="0071612A">
            <w:rPr>
              <w:rFonts w:ascii="Arial" w:hAnsi="Arial" w:cs="Arial"/>
              <w:b/>
              <w:bCs/>
              <w:sz w:val="28"/>
              <w:szCs w:val="28"/>
            </w:rPr>
            <w:fldChar w:fldCharType="begin"/>
          </w:r>
          <w:r w:rsidRPr="0071612A">
            <w:rPr>
              <w:rFonts w:ascii="Arial" w:hAnsi="Arial" w:cs="Arial"/>
              <w:b/>
              <w:bCs/>
              <w:sz w:val="28"/>
              <w:szCs w:val="28"/>
            </w:rPr>
            <w:instrText xml:space="preserve"> TITLE   \* MERGEFORMAT </w:instrText>
          </w:r>
          <w:r w:rsidRPr="0071612A">
            <w:rPr>
              <w:rFonts w:ascii="Arial" w:hAnsi="Arial" w:cs="Arial"/>
              <w:b/>
              <w:bCs/>
              <w:sz w:val="28"/>
              <w:szCs w:val="28"/>
            </w:rPr>
            <w:fldChar w:fldCharType="separate"/>
          </w:r>
          <w:r w:rsidR="002B0BED">
            <w:rPr>
              <w:rFonts w:ascii="Arial" w:hAnsi="Arial" w:cs="Arial"/>
              <w:b/>
              <w:bCs/>
              <w:sz w:val="28"/>
              <w:szCs w:val="28"/>
            </w:rPr>
            <w:t>SOP: Post Review</w:t>
          </w:r>
          <w:r w:rsidRPr="0071612A">
            <w:rPr>
              <w:rFonts w:ascii="Arial" w:hAnsi="Arial" w:cs="Arial"/>
              <w:b/>
              <w:bCs/>
              <w:sz w:val="28"/>
              <w:szCs w:val="28"/>
            </w:rPr>
            <w:fldChar w:fldCharType="end"/>
          </w:r>
        </w:p>
      </w:tc>
    </w:tr>
    <w:tr w:rsidR="00AE3DBE" w:rsidRPr="0071612A" w14:paraId="74D52630" w14:textId="77777777" w:rsidTr="009D5E48">
      <w:trPr>
        <w:cantSplit/>
        <w:trHeight w:hRule="exact" w:val="216"/>
      </w:trPr>
      <w:tc>
        <w:tcPr>
          <w:tcW w:w="3484" w:type="dxa"/>
          <w:vMerge/>
          <w:tcBorders>
            <w:top w:val="single" w:sz="4" w:space="0" w:color="auto"/>
            <w:left w:val="nil"/>
            <w:bottom w:val="nil"/>
            <w:right w:val="single" w:sz="4" w:space="0" w:color="auto"/>
          </w:tcBorders>
          <w:shd w:val="clear" w:color="auto" w:fill="auto"/>
          <w:vAlign w:val="center"/>
          <w:hideMark/>
        </w:tcPr>
        <w:p w14:paraId="74D5262B" w14:textId="77777777" w:rsidR="00AE3DBE" w:rsidRPr="0071612A" w:rsidRDefault="00AE3DBE" w:rsidP="00725F88">
          <w:pPr>
            <w:rPr>
              <w:rFonts w:ascii="Arial" w:hAnsi="Arial" w:cs="Arial"/>
              <w:b/>
              <w:bCs/>
              <w:color w:val="FFFFFF" w:themeColor="background1"/>
            </w:rPr>
          </w:pPr>
        </w:p>
      </w:tc>
      <w:tc>
        <w:tcPr>
          <w:tcW w:w="152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  <w:vAlign w:val="center"/>
          <w:hideMark/>
        </w:tcPr>
        <w:p w14:paraId="74D5262C" w14:textId="77777777" w:rsidR="00AE3DBE" w:rsidRPr="0071612A" w:rsidRDefault="00AE3DBE" w:rsidP="001F7306">
          <w:pPr>
            <w:pStyle w:val="SOPTableHeader"/>
          </w:pPr>
          <w:r w:rsidRPr="0071612A">
            <w:t>Document No.:</w:t>
          </w:r>
        </w:p>
      </w:tc>
      <w:tc>
        <w:tcPr>
          <w:tcW w:w="152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  <w:vAlign w:val="center"/>
          <w:hideMark/>
        </w:tcPr>
        <w:p w14:paraId="74D5262D" w14:textId="77777777" w:rsidR="00AE3DBE" w:rsidRPr="0071612A" w:rsidRDefault="00AE3DBE" w:rsidP="001F7306">
          <w:pPr>
            <w:pStyle w:val="SOPTableHeader"/>
          </w:pPr>
          <w:r w:rsidRPr="0071612A">
            <w:t>Edition No.:</w:t>
          </w:r>
        </w:p>
      </w:tc>
      <w:tc>
        <w:tcPr>
          <w:tcW w:w="152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  <w:vAlign w:val="center"/>
          <w:hideMark/>
        </w:tcPr>
        <w:p w14:paraId="74D5262E" w14:textId="77777777" w:rsidR="00AE3DBE" w:rsidRPr="0071612A" w:rsidRDefault="00AE3DBE" w:rsidP="001F7306">
          <w:pPr>
            <w:pStyle w:val="SOPTableHeader"/>
          </w:pPr>
          <w:r w:rsidRPr="0071612A">
            <w:t>Effective Date:</w:t>
          </w:r>
        </w:p>
      </w:tc>
      <w:tc>
        <w:tcPr>
          <w:tcW w:w="152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  <w:vAlign w:val="center"/>
          <w:hideMark/>
        </w:tcPr>
        <w:p w14:paraId="74D5262F" w14:textId="77777777" w:rsidR="00AE3DBE" w:rsidRPr="0071612A" w:rsidRDefault="00AE3DBE" w:rsidP="001F7306">
          <w:pPr>
            <w:pStyle w:val="SOPTableHeader"/>
          </w:pPr>
          <w:r w:rsidRPr="0071612A">
            <w:t>Page:</w:t>
          </w:r>
        </w:p>
      </w:tc>
    </w:tr>
    <w:tr w:rsidR="00AE3DBE" w:rsidRPr="0071612A" w14:paraId="74D52636" w14:textId="77777777" w:rsidTr="00231AFD">
      <w:trPr>
        <w:cantSplit/>
        <w:trHeight w:hRule="exact" w:val="360"/>
      </w:trPr>
      <w:tc>
        <w:tcPr>
          <w:tcW w:w="3484" w:type="dxa"/>
          <w:vMerge/>
          <w:tcBorders>
            <w:top w:val="single" w:sz="4" w:space="0" w:color="auto"/>
            <w:left w:val="nil"/>
            <w:bottom w:val="nil"/>
            <w:right w:val="single" w:sz="4" w:space="0" w:color="auto"/>
          </w:tcBorders>
          <w:shd w:val="clear" w:color="auto" w:fill="auto"/>
          <w:vAlign w:val="center"/>
          <w:hideMark/>
        </w:tcPr>
        <w:p w14:paraId="74D52631" w14:textId="77777777" w:rsidR="00AE3DBE" w:rsidRPr="0071612A" w:rsidRDefault="00AE3DBE" w:rsidP="00725F88">
          <w:pPr>
            <w:rPr>
              <w:rFonts w:ascii="Arial" w:hAnsi="Arial" w:cs="Arial"/>
              <w:b/>
              <w:bCs/>
              <w:color w:val="FFFFFF" w:themeColor="background1"/>
            </w:rPr>
          </w:pPr>
        </w:p>
      </w:tc>
      <w:tc>
        <w:tcPr>
          <w:tcW w:w="152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4D52632" w14:textId="77777777" w:rsidR="00AE3DBE" w:rsidRPr="0071612A" w:rsidRDefault="002B0BED" w:rsidP="001F7306">
          <w:pPr>
            <w:pStyle w:val="SOPTableItemBold"/>
          </w:pPr>
          <w:fldSimple w:instr=" SUBJECT   \* MERGEFORMAT ">
            <w:r>
              <w:t>HRP-111</w:t>
            </w:r>
          </w:fldSimple>
        </w:p>
      </w:tc>
      <w:tc>
        <w:tcPr>
          <w:tcW w:w="152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4D52633" w14:textId="3493270F" w:rsidR="00AE3DBE" w:rsidRPr="0071612A" w:rsidRDefault="00AE3DBE" w:rsidP="001F7306">
          <w:pPr>
            <w:pStyle w:val="SOPTableItemBold"/>
          </w:pPr>
          <w:r w:rsidRPr="0071612A">
            <w:t>00</w:t>
          </w:r>
          <w:r w:rsidR="009D217E">
            <w:t>2</w:t>
          </w:r>
        </w:p>
      </w:tc>
      <w:tc>
        <w:tcPr>
          <w:tcW w:w="152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0" w:type="dxa"/>
            <w:right w:w="0" w:type="dxa"/>
          </w:tcMar>
          <w:vAlign w:val="center"/>
          <w:hideMark/>
        </w:tcPr>
        <w:p w14:paraId="74D52634" w14:textId="0A65D377" w:rsidR="00AE3DBE" w:rsidRPr="0071612A" w:rsidRDefault="007E5E58" w:rsidP="003C4741">
          <w:pPr>
            <w:pStyle w:val="SOPTableItemBold"/>
          </w:pPr>
          <w:r w:rsidRPr="007E5E58">
            <w:t>06 SEP 2025</w:t>
          </w:r>
        </w:p>
      </w:tc>
      <w:tc>
        <w:tcPr>
          <w:tcW w:w="152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4D52635" w14:textId="0929295D" w:rsidR="00AE3DBE" w:rsidRPr="0071612A" w:rsidRDefault="00AE3DBE" w:rsidP="001F7306">
          <w:pPr>
            <w:pStyle w:val="SOPTableItemBold"/>
          </w:pPr>
          <w:r w:rsidRPr="0071612A">
            <w:t xml:space="preserve">Page </w:t>
          </w:r>
          <w:r w:rsidRPr="0071612A">
            <w:fldChar w:fldCharType="begin"/>
          </w:r>
          <w:r w:rsidRPr="0071612A">
            <w:instrText xml:space="preserve"> PAGE  \* Arabic  \* MERGEFORMAT </w:instrText>
          </w:r>
          <w:r w:rsidRPr="0071612A">
            <w:fldChar w:fldCharType="separate"/>
          </w:r>
          <w:r w:rsidR="002B0BED">
            <w:t>3</w:t>
          </w:r>
          <w:r w:rsidRPr="0071612A">
            <w:fldChar w:fldCharType="end"/>
          </w:r>
          <w:r w:rsidRPr="0071612A">
            <w:t xml:space="preserve"> of </w:t>
          </w:r>
          <w:fldSimple w:instr=" NUMPAGES  \* Arabic  \* MERGEFORMAT ">
            <w:r w:rsidR="002B0BED">
              <w:t>3</w:t>
            </w:r>
          </w:fldSimple>
        </w:p>
      </w:tc>
    </w:tr>
  </w:tbl>
  <w:p w14:paraId="384BD6BC" w14:textId="77777777" w:rsidR="00C21E4F" w:rsidRPr="0071612A" w:rsidRDefault="00C21E4F" w:rsidP="00C21E4F">
    <w:pPr>
      <w:tabs>
        <w:tab w:val="center" w:pos="4680"/>
        <w:tab w:val="right" w:pos="9360"/>
      </w:tabs>
      <w:spacing w:after="0" w:line="240" w:lineRule="auto"/>
      <w:rPr>
        <w:rFonts w:ascii="Calibri" w:eastAsia="Calibri" w:hAnsi="Calibri" w:cs="Times New Roman"/>
        <w:sz w:val="2"/>
        <w:szCs w:val="2"/>
      </w:rPr>
    </w:pPr>
    <w:r w:rsidRPr="0071612A">
      <w:rPr>
        <w:rFonts w:ascii="Calibri" w:eastAsia="Calibri" w:hAnsi="Calibri" w:cs="Times New Roman"/>
        <w:sz w:val="2"/>
        <w:szCs w:val="2"/>
      </w:rPr>
      <w:tab/>
    </w:r>
  </w:p>
  <w:p w14:paraId="74D52638" w14:textId="77777777" w:rsidR="00AE3DBE" w:rsidRPr="0071612A" w:rsidRDefault="00AE3DBE" w:rsidP="00AE3DBE">
    <w:pPr>
      <w:tabs>
        <w:tab w:val="center" w:pos="4680"/>
        <w:tab w:val="right" w:pos="9360"/>
      </w:tabs>
      <w:spacing w:after="0" w:line="240" w:lineRule="auto"/>
      <w:rPr>
        <w:rFonts w:ascii="Calibri" w:eastAsia="Calibri" w:hAnsi="Calibri" w:cs="Times New Roman"/>
        <w:sz w:val="2"/>
        <w:szCs w:val="2"/>
      </w:rPr>
    </w:pPr>
  </w:p>
  <w:p w14:paraId="74D52639" w14:textId="77777777" w:rsidR="00AE3DBE" w:rsidRPr="0071612A" w:rsidRDefault="00AE3DBE" w:rsidP="00AE3DBE">
    <w:pPr>
      <w:tabs>
        <w:tab w:val="center" w:pos="4680"/>
        <w:tab w:val="right" w:pos="9360"/>
      </w:tabs>
      <w:spacing w:after="0" w:line="240" w:lineRule="auto"/>
      <w:rPr>
        <w:rFonts w:ascii="Calibri" w:eastAsia="Calibri" w:hAnsi="Calibri" w:cs="Times New Roman"/>
        <w:sz w:val="2"/>
      </w:rPr>
    </w:pPr>
  </w:p>
  <w:p w14:paraId="74D5263A" w14:textId="77777777" w:rsidR="00AE3DBE" w:rsidRPr="0071612A" w:rsidRDefault="00AE3DBE" w:rsidP="00AE3DBE">
    <w:pPr>
      <w:pStyle w:val="Header"/>
      <w:rPr>
        <w:sz w:val="2"/>
      </w:rPr>
    </w:pPr>
  </w:p>
  <w:p w14:paraId="74D5263B" w14:textId="77777777" w:rsidR="006D21A8" w:rsidRPr="00AE3DBE" w:rsidRDefault="006D21A8" w:rsidP="00AE3DBE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59C77" w14:textId="77777777" w:rsidR="007E5E58" w:rsidRDefault="007E5E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C4BAC"/>
    <w:multiLevelType w:val="multilevel"/>
    <w:tmpl w:val="7D489812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5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200" w:hanging="1440"/>
      </w:pPr>
    </w:lvl>
  </w:abstractNum>
  <w:abstractNum w:abstractNumId="1" w15:restartNumberingAfterBreak="0">
    <w:nsid w:val="0CCD3CB5"/>
    <w:multiLevelType w:val="hybridMultilevel"/>
    <w:tmpl w:val="38EAB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AB53E6"/>
    <w:multiLevelType w:val="multilevel"/>
    <w:tmpl w:val="0418583C"/>
    <w:lvl w:ilvl="0">
      <w:start w:val="1"/>
      <w:numFmt w:val="decimal"/>
      <w:pStyle w:val="SOPLevel1"/>
      <w:lvlText w:val="%1.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pStyle w:val="SOPLevel2"/>
      <w:lvlText w:val="%1.%2."/>
      <w:lvlJc w:val="left"/>
      <w:pPr>
        <w:ind w:left="1152" w:hanging="576"/>
      </w:pPr>
      <w:rPr>
        <w:rFonts w:hint="default"/>
      </w:rPr>
    </w:lvl>
    <w:lvl w:ilvl="2">
      <w:start w:val="1"/>
      <w:numFmt w:val="decimal"/>
      <w:pStyle w:val="SOPLevel3"/>
      <w:lvlText w:val="%1.%2.%3."/>
      <w:lvlJc w:val="left"/>
      <w:pPr>
        <w:ind w:left="2016" w:hanging="864"/>
      </w:pPr>
      <w:rPr>
        <w:rFonts w:hint="default"/>
      </w:rPr>
    </w:lvl>
    <w:lvl w:ilvl="3">
      <w:start w:val="1"/>
      <w:numFmt w:val="decimal"/>
      <w:pStyle w:val="SOPLevel4"/>
      <w:lvlText w:val="%1.%2.%3.%4."/>
      <w:lvlJc w:val="left"/>
      <w:pPr>
        <w:tabs>
          <w:tab w:val="num" w:pos="2016"/>
        </w:tabs>
        <w:ind w:left="3168" w:hanging="1152"/>
      </w:pPr>
      <w:rPr>
        <w:rFonts w:hint="default"/>
      </w:rPr>
    </w:lvl>
    <w:lvl w:ilvl="4">
      <w:start w:val="1"/>
      <w:numFmt w:val="decimal"/>
      <w:pStyle w:val="SOPLevel5"/>
      <w:lvlText w:val="%1.%2.%3.%4.%5."/>
      <w:lvlJc w:val="left"/>
      <w:pPr>
        <w:tabs>
          <w:tab w:val="num" w:pos="3168"/>
        </w:tabs>
        <w:ind w:left="4608" w:hanging="1440"/>
      </w:pPr>
      <w:rPr>
        <w:rFonts w:hint="default"/>
      </w:rPr>
    </w:lvl>
    <w:lvl w:ilvl="5">
      <w:start w:val="1"/>
      <w:numFmt w:val="decimal"/>
      <w:pStyle w:val="SOPLevel6"/>
      <w:lvlText w:val="%1.%2.%3.%4.%5.%6."/>
      <w:lvlJc w:val="left"/>
      <w:pPr>
        <w:tabs>
          <w:tab w:val="num" w:pos="4608"/>
        </w:tabs>
        <w:ind w:left="6336" w:hanging="172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50187C2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2B61D78"/>
    <w:multiLevelType w:val="multilevel"/>
    <w:tmpl w:val="DC702E1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576" w:hanging="21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1728"/>
        </w:tabs>
        <w:ind w:left="792" w:firstLine="144"/>
      </w:pPr>
      <w:rPr>
        <w:rFonts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2898"/>
        </w:tabs>
        <w:ind w:left="1170" w:firstLine="720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1224" w:firstLine="151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400"/>
        </w:tabs>
        <w:ind w:left="1440" w:firstLine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2093089507">
    <w:abstractNumId w:val="3"/>
  </w:num>
  <w:num w:numId="2" w16cid:durableId="810754761">
    <w:abstractNumId w:val="2"/>
  </w:num>
  <w:num w:numId="3" w16cid:durableId="114243170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21190498">
    <w:abstractNumId w:val="4"/>
  </w:num>
  <w:num w:numId="5" w16cid:durableId="350761540">
    <w:abstractNumId w:val="1"/>
  </w:num>
  <w:num w:numId="6" w16cid:durableId="166679308">
    <w:abstractNumId w:val="2"/>
  </w:num>
  <w:num w:numId="7" w16cid:durableId="199244921">
    <w:abstractNumId w:val="2"/>
  </w:num>
  <w:num w:numId="8" w16cid:durableId="2136369488">
    <w:abstractNumId w:val="2"/>
  </w:num>
  <w:num w:numId="9" w16cid:durableId="1635599767">
    <w:abstractNumId w:val="2"/>
  </w:num>
  <w:num w:numId="10" w16cid:durableId="495850879">
    <w:abstractNumId w:val="2"/>
  </w:num>
  <w:num w:numId="11" w16cid:durableId="271669767">
    <w:abstractNumId w:val="2"/>
  </w:num>
  <w:num w:numId="12" w16cid:durableId="36970846">
    <w:abstractNumId w:val="2"/>
    <w:lvlOverride w:ilvl="0">
      <w:startOverride w:val="4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71011647">
    <w:abstractNumId w:val="2"/>
    <w:lvlOverride w:ilvl="0">
      <w:startOverride w:val="4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37825285">
    <w:abstractNumId w:val="0"/>
    <w:lvlOverride w:ilvl="0">
      <w:startOverride w:val="4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E0F268E2-8F97-47D7-8140-FB7FECA52D72}"/>
    <w:docVar w:name="dgnword-eventsink" w:val="271722016"/>
  </w:docVars>
  <w:rsids>
    <w:rsidRoot w:val="00E95BBF"/>
    <w:rsid w:val="00001F6A"/>
    <w:rsid w:val="00012C17"/>
    <w:rsid w:val="00012FB6"/>
    <w:rsid w:val="00016E75"/>
    <w:rsid w:val="00027639"/>
    <w:rsid w:val="0003437F"/>
    <w:rsid w:val="000404B6"/>
    <w:rsid w:val="000420BC"/>
    <w:rsid w:val="000462AC"/>
    <w:rsid w:val="00046BF4"/>
    <w:rsid w:val="00050EFF"/>
    <w:rsid w:val="00051806"/>
    <w:rsid w:val="0005317A"/>
    <w:rsid w:val="0006354A"/>
    <w:rsid w:val="00064708"/>
    <w:rsid w:val="00075689"/>
    <w:rsid w:val="00085C89"/>
    <w:rsid w:val="00087932"/>
    <w:rsid w:val="000A1778"/>
    <w:rsid w:val="000A4B9E"/>
    <w:rsid w:val="000A50C4"/>
    <w:rsid w:val="000B03D7"/>
    <w:rsid w:val="000B4A47"/>
    <w:rsid w:val="000C6D61"/>
    <w:rsid w:val="000C7391"/>
    <w:rsid w:val="000D5B18"/>
    <w:rsid w:val="000E1AC8"/>
    <w:rsid w:val="000E3502"/>
    <w:rsid w:val="00101F84"/>
    <w:rsid w:val="001039BA"/>
    <w:rsid w:val="00106160"/>
    <w:rsid w:val="0011201E"/>
    <w:rsid w:val="00127E3D"/>
    <w:rsid w:val="00130AC3"/>
    <w:rsid w:val="0013294A"/>
    <w:rsid w:val="00154BCC"/>
    <w:rsid w:val="00154FD5"/>
    <w:rsid w:val="0016633D"/>
    <w:rsid w:val="00173CFA"/>
    <w:rsid w:val="00185B30"/>
    <w:rsid w:val="001878EB"/>
    <w:rsid w:val="001A5996"/>
    <w:rsid w:val="001A5A2A"/>
    <w:rsid w:val="001B1AAC"/>
    <w:rsid w:val="001B2264"/>
    <w:rsid w:val="001B7A08"/>
    <w:rsid w:val="001C3FF9"/>
    <w:rsid w:val="001C443A"/>
    <w:rsid w:val="001C4D4C"/>
    <w:rsid w:val="001C7A95"/>
    <w:rsid w:val="001D2C16"/>
    <w:rsid w:val="001D4697"/>
    <w:rsid w:val="001E1A0C"/>
    <w:rsid w:val="001E57B8"/>
    <w:rsid w:val="001F1329"/>
    <w:rsid w:val="001F4C84"/>
    <w:rsid w:val="001F7306"/>
    <w:rsid w:val="00202BF5"/>
    <w:rsid w:val="0020344B"/>
    <w:rsid w:val="0021129A"/>
    <w:rsid w:val="00223FDC"/>
    <w:rsid w:val="00231AFD"/>
    <w:rsid w:val="002422B9"/>
    <w:rsid w:val="00244950"/>
    <w:rsid w:val="0024669D"/>
    <w:rsid w:val="002525E2"/>
    <w:rsid w:val="00256832"/>
    <w:rsid w:val="00256F23"/>
    <w:rsid w:val="002703BD"/>
    <w:rsid w:val="002734D6"/>
    <w:rsid w:val="0027369B"/>
    <w:rsid w:val="002745F4"/>
    <w:rsid w:val="00282D03"/>
    <w:rsid w:val="0029321F"/>
    <w:rsid w:val="002A4524"/>
    <w:rsid w:val="002B0BED"/>
    <w:rsid w:val="002B53F5"/>
    <w:rsid w:val="002C32AC"/>
    <w:rsid w:val="002D06A0"/>
    <w:rsid w:val="002D4539"/>
    <w:rsid w:val="002D79DE"/>
    <w:rsid w:val="002E318D"/>
    <w:rsid w:val="002E339E"/>
    <w:rsid w:val="002F4B3F"/>
    <w:rsid w:val="00307248"/>
    <w:rsid w:val="003105FA"/>
    <w:rsid w:val="0031535E"/>
    <w:rsid w:val="00327FF7"/>
    <w:rsid w:val="00332ADF"/>
    <w:rsid w:val="00354910"/>
    <w:rsid w:val="003704AD"/>
    <w:rsid w:val="00375546"/>
    <w:rsid w:val="00375A4E"/>
    <w:rsid w:val="003826FA"/>
    <w:rsid w:val="00392566"/>
    <w:rsid w:val="003A6D7B"/>
    <w:rsid w:val="003A7F1F"/>
    <w:rsid w:val="003B6359"/>
    <w:rsid w:val="003C431A"/>
    <w:rsid w:val="003C4741"/>
    <w:rsid w:val="003D226A"/>
    <w:rsid w:val="00400C33"/>
    <w:rsid w:val="004013C1"/>
    <w:rsid w:val="00405B45"/>
    <w:rsid w:val="004208E1"/>
    <w:rsid w:val="00422CC7"/>
    <w:rsid w:val="0043076B"/>
    <w:rsid w:val="00431E3A"/>
    <w:rsid w:val="00434910"/>
    <w:rsid w:val="00453DDA"/>
    <w:rsid w:val="00454749"/>
    <w:rsid w:val="0048209B"/>
    <w:rsid w:val="00484D6D"/>
    <w:rsid w:val="0049615A"/>
    <w:rsid w:val="004A1AC8"/>
    <w:rsid w:val="004A373B"/>
    <w:rsid w:val="004B06CA"/>
    <w:rsid w:val="004B4B21"/>
    <w:rsid w:val="004B50C7"/>
    <w:rsid w:val="004B523F"/>
    <w:rsid w:val="004C046E"/>
    <w:rsid w:val="004C13EF"/>
    <w:rsid w:val="004C34F6"/>
    <w:rsid w:val="004C5E5C"/>
    <w:rsid w:val="004C7856"/>
    <w:rsid w:val="004E2FFF"/>
    <w:rsid w:val="004E7AD5"/>
    <w:rsid w:val="004F31BD"/>
    <w:rsid w:val="004F53D7"/>
    <w:rsid w:val="004F6659"/>
    <w:rsid w:val="004F70D0"/>
    <w:rsid w:val="004F7D0C"/>
    <w:rsid w:val="00515C9D"/>
    <w:rsid w:val="005253D6"/>
    <w:rsid w:val="005259F7"/>
    <w:rsid w:val="00527F1F"/>
    <w:rsid w:val="00551432"/>
    <w:rsid w:val="00563DAB"/>
    <w:rsid w:val="0058426E"/>
    <w:rsid w:val="00585CAF"/>
    <w:rsid w:val="00592870"/>
    <w:rsid w:val="00593F8C"/>
    <w:rsid w:val="00597BC0"/>
    <w:rsid w:val="005B6E88"/>
    <w:rsid w:val="005C3847"/>
    <w:rsid w:val="005C5F0F"/>
    <w:rsid w:val="005C6C77"/>
    <w:rsid w:val="005D4AD7"/>
    <w:rsid w:val="005D6164"/>
    <w:rsid w:val="005F0C07"/>
    <w:rsid w:val="005F663A"/>
    <w:rsid w:val="006013BC"/>
    <w:rsid w:val="00605FDF"/>
    <w:rsid w:val="00614042"/>
    <w:rsid w:val="00617A88"/>
    <w:rsid w:val="006257B3"/>
    <w:rsid w:val="006279EC"/>
    <w:rsid w:val="00631C8B"/>
    <w:rsid w:val="0063272C"/>
    <w:rsid w:val="00635259"/>
    <w:rsid w:val="006421EA"/>
    <w:rsid w:val="006441D4"/>
    <w:rsid w:val="00645738"/>
    <w:rsid w:val="0065231B"/>
    <w:rsid w:val="00652560"/>
    <w:rsid w:val="00660006"/>
    <w:rsid w:val="00661C12"/>
    <w:rsid w:val="006629C8"/>
    <w:rsid w:val="006656DC"/>
    <w:rsid w:val="00667E43"/>
    <w:rsid w:val="0068136E"/>
    <w:rsid w:val="006938ED"/>
    <w:rsid w:val="006A0FE2"/>
    <w:rsid w:val="006A116B"/>
    <w:rsid w:val="006A2F11"/>
    <w:rsid w:val="006A5787"/>
    <w:rsid w:val="006B16A0"/>
    <w:rsid w:val="006B2AB3"/>
    <w:rsid w:val="006B39D2"/>
    <w:rsid w:val="006B4F31"/>
    <w:rsid w:val="006B5C66"/>
    <w:rsid w:val="006B611E"/>
    <w:rsid w:val="006B70F9"/>
    <w:rsid w:val="006C2661"/>
    <w:rsid w:val="006C34E5"/>
    <w:rsid w:val="006D1655"/>
    <w:rsid w:val="006D1854"/>
    <w:rsid w:val="006D21A8"/>
    <w:rsid w:val="006D2E9A"/>
    <w:rsid w:val="006D2FD8"/>
    <w:rsid w:val="006D48D5"/>
    <w:rsid w:val="006D7806"/>
    <w:rsid w:val="006F3D07"/>
    <w:rsid w:val="00705337"/>
    <w:rsid w:val="0071153D"/>
    <w:rsid w:val="00711A0A"/>
    <w:rsid w:val="00725BD6"/>
    <w:rsid w:val="00726394"/>
    <w:rsid w:val="00737F0B"/>
    <w:rsid w:val="00740CE2"/>
    <w:rsid w:val="00741937"/>
    <w:rsid w:val="00746D3B"/>
    <w:rsid w:val="007471DF"/>
    <w:rsid w:val="00757358"/>
    <w:rsid w:val="00774C40"/>
    <w:rsid w:val="00780990"/>
    <w:rsid w:val="00794692"/>
    <w:rsid w:val="007B5119"/>
    <w:rsid w:val="007C065C"/>
    <w:rsid w:val="007C3099"/>
    <w:rsid w:val="007C3CFC"/>
    <w:rsid w:val="007D062D"/>
    <w:rsid w:val="007E3536"/>
    <w:rsid w:val="007E5E58"/>
    <w:rsid w:val="007E7DB5"/>
    <w:rsid w:val="007F244B"/>
    <w:rsid w:val="008053FB"/>
    <w:rsid w:val="00805C6B"/>
    <w:rsid w:val="00806341"/>
    <w:rsid w:val="00810580"/>
    <w:rsid w:val="00812431"/>
    <w:rsid w:val="00815175"/>
    <w:rsid w:val="008216EE"/>
    <w:rsid w:val="00823680"/>
    <w:rsid w:val="00850A65"/>
    <w:rsid w:val="00851424"/>
    <w:rsid w:val="00867BF2"/>
    <w:rsid w:val="00873599"/>
    <w:rsid w:val="00882659"/>
    <w:rsid w:val="008933D7"/>
    <w:rsid w:val="00895544"/>
    <w:rsid w:val="008B6F01"/>
    <w:rsid w:val="008C5C39"/>
    <w:rsid w:val="008D01DC"/>
    <w:rsid w:val="008D250E"/>
    <w:rsid w:val="008E074D"/>
    <w:rsid w:val="008E2AFC"/>
    <w:rsid w:val="008E3583"/>
    <w:rsid w:val="008F0280"/>
    <w:rsid w:val="008F4190"/>
    <w:rsid w:val="008F58B0"/>
    <w:rsid w:val="008F62A5"/>
    <w:rsid w:val="008F72B2"/>
    <w:rsid w:val="009012B9"/>
    <w:rsid w:val="00907067"/>
    <w:rsid w:val="00910A83"/>
    <w:rsid w:val="00916E2D"/>
    <w:rsid w:val="00916EE2"/>
    <w:rsid w:val="00927B19"/>
    <w:rsid w:val="0093159B"/>
    <w:rsid w:val="00935262"/>
    <w:rsid w:val="00935A77"/>
    <w:rsid w:val="00935E9D"/>
    <w:rsid w:val="009441E5"/>
    <w:rsid w:val="0094447A"/>
    <w:rsid w:val="00947856"/>
    <w:rsid w:val="00947E0C"/>
    <w:rsid w:val="00956356"/>
    <w:rsid w:val="00966202"/>
    <w:rsid w:val="00972002"/>
    <w:rsid w:val="00981C16"/>
    <w:rsid w:val="00983EF3"/>
    <w:rsid w:val="00986096"/>
    <w:rsid w:val="009A0A2E"/>
    <w:rsid w:val="009B24A4"/>
    <w:rsid w:val="009B5CB0"/>
    <w:rsid w:val="009C17B2"/>
    <w:rsid w:val="009C246E"/>
    <w:rsid w:val="009C2950"/>
    <w:rsid w:val="009C7F79"/>
    <w:rsid w:val="009D20C4"/>
    <w:rsid w:val="009D217E"/>
    <w:rsid w:val="009D3DE8"/>
    <w:rsid w:val="009D410D"/>
    <w:rsid w:val="009D5E48"/>
    <w:rsid w:val="009E6104"/>
    <w:rsid w:val="009F3D59"/>
    <w:rsid w:val="009F7CEF"/>
    <w:rsid w:val="00A029B5"/>
    <w:rsid w:val="00A02EDD"/>
    <w:rsid w:val="00A04BDE"/>
    <w:rsid w:val="00A06A4C"/>
    <w:rsid w:val="00A06EB8"/>
    <w:rsid w:val="00A1249D"/>
    <w:rsid w:val="00A43988"/>
    <w:rsid w:val="00A44626"/>
    <w:rsid w:val="00A4499E"/>
    <w:rsid w:val="00A4717B"/>
    <w:rsid w:val="00A47FEA"/>
    <w:rsid w:val="00A51143"/>
    <w:rsid w:val="00A524C7"/>
    <w:rsid w:val="00A52829"/>
    <w:rsid w:val="00A538F0"/>
    <w:rsid w:val="00A54D70"/>
    <w:rsid w:val="00A63EA4"/>
    <w:rsid w:val="00A70F30"/>
    <w:rsid w:val="00A7790B"/>
    <w:rsid w:val="00A82350"/>
    <w:rsid w:val="00A8403A"/>
    <w:rsid w:val="00A94C3D"/>
    <w:rsid w:val="00AB71EF"/>
    <w:rsid w:val="00AB7379"/>
    <w:rsid w:val="00AC18A0"/>
    <w:rsid w:val="00AC6DFD"/>
    <w:rsid w:val="00AD0519"/>
    <w:rsid w:val="00AD66B1"/>
    <w:rsid w:val="00AE0FA9"/>
    <w:rsid w:val="00AE3955"/>
    <w:rsid w:val="00AE3DBE"/>
    <w:rsid w:val="00AF24CF"/>
    <w:rsid w:val="00B025E9"/>
    <w:rsid w:val="00B035CA"/>
    <w:rsid w:val="00B037DA"/>
    <w:rsid w:val="00B06F26"/>
    <w:rsid w:val="00B12110"/>
    <w:rsid w:val="00B16201"/>
    <w:rsid w:val="00B22FEC"/>
    <w:rsid w:val="00B23176"/>
    <w:rsid w:val="00B3037C"/>
    <w:rsid w:val="00B326C5"/>
    <w:rsid w:val="00B339CB"/>
    <w:rsid w:val="00B402D0"/>
    <w:rsid w:val="00B42084"/>
    <w:rsid w:val="00B56E45"/>
    <w:rsid w:val="00B62D29"/>
    <w:rsid w:val="00B643D5"/>
    <w:rsid w:val="00B76B0E"/>
    <w:rsid w:val="00B82628"/>
    <w:rsid w:val="00B86533"/>
    <w:rsid w:val="00B87F45"/>
    <w:rsid w:val="00B96736"/>
    <w:rsid w:val="00B969A4"/>
    <w:rsid w:val="00BB1A5A"/>
    <w:rsid w:val="00BC75FF"/>
    <w:rsid w:val="00BC79E9"/>
    <w:rsid w:val="00BD0064"/>
    <w:rsid w:val="00BD2F35"/>
    <w:rsid w:val="00BD375F"/>
    <w:rsid w:val="00BD62CE"/>
    <w:rsid w:val="00BE0F70"/>
    <w:rsid w:val="00BE3293"/>
    <w:rsid w:val="00BE5B99"/>
    <w:rsid w:val="00BF04C1"/>
    <w:rsid w:val="00BF550B"/>
    <w:rsid w:val="00BF7355"/>
    <w:rsid w:val="00BF764C"/>
    <w:rsid w:val="00BF7FC5"/>
    <w:rsid w:val="00C058EE"/>
    <w:rsid w:val="00C14589"/>
    <w:rsid w:val="00C164FC"/>
    <w:rsid w:val="00C2198A"/>
    <w:rsid w:val="00C21E4F"/>
    <w:rsid w:val="00C22507"/>
    <w:rsid w:val="00C33B73"/>
    <w:rsid w:val="00C36682"/>
    <w:rsid w:val="00C36FC5"/>
    <w:rsid w:val="00C37500"/>
    <w:rsid w:val="00C40386"/>
    <w:rsid w:val="00C441DF"/>
    <w:rsid w:val="00C47EC5"/>
    <w:rsid w:val="00C533A3"/>
    <w:rsid w:val="00C6001D"/>
    <w:rsid w:val="00C76522"/>
    <w:rsid w:val="00C96599"/>
    <w:rsid w:val="00CA35CE"/>
    <w:rsid w:val="00CB2C28"/>
    <w:rsid w:val="00CB3405"/>
    <w:rsid w:val="00CB7837"/>
    <w:rsid w:val="00CC66E9"/>
    <w:rsid w:val="00CC799A"/>
    <w:rsid w:val="00CD24C1"/>
    <w:rsid w:val="00CE46A1"/>
    <w:rsid w:val="00CE702A"/>
    <w:rsid w:val="00D0239D"/>
    <w:rsid w:val="00D10EF7"/>
    <w:rsid w:val="00D11D2F"/>
    <w:rsid w:val="00D207B6"/>
    <w:rsid w:val="00D23B00"/>
    <w:rsid w:val="00D25A90"/>
    <w:rsid w:val="00D263F1"/>
    <w:rsid w:val="00D26576"/>
    <w:rsid w:val="00D2688E"/>
    <w:rsid w:val="00D37174"/>
    <w:rsid w:val="00D37277"/>
    <w:rsid w:val="00D43522"/>
    <w:rsid w:val="00D46B65"/>
    <w:rsid w:val="00D514F0"/>
    <w:rsid w:val="00D565CD"/>
    <w:rsid w:val="00D72978"/>
    <w:rsid w:val="00D76242"/>
    <w:rsid w:val="00D83094"/>
    <w:rsid w:val="00D84BC2"/>
    <w:rsid w:val="00D86D95"/>
    <w:rsid w:val="00D944D0"/>
    <w:rsid w:val="00DA1A72"/>
    <w:rsid w:val="00DA20BA"/>
    <w:rsid w:val="00DB3026"/>
    <w:rsid w:val="00DD2A9E"/>
    <w:rsid w:val="00DD4EE3"/>
    <w:rsid w:val="00DE268B"/>
    <w:rsid w:val="00DF0EDD"/>
    <w:rsid w:val="00DF1719"/>
    <w:rsid w:val="00DF27E8"/>
    <w:rsid w:val="00DF2C9C"/>
    <w:rsid w:val="00DF45DD"/>
    <w:rsid w:val="00E00D6A"/>
    <w:rsid w:val="00E1471D"/>
    <w:rsid w:val="00E33B63"/>
    <w:rsid w:val="00E3793E"/>
    <w:rsid w:val="00E40D2E"/>
    <w:rsid w:val="00E57008"/>
    <w:rsid w:val="00E63270"/>
    <w:rsid w:val="00E71498"/>
    <w:rsid w:val="00E77D49"/>
    <w:rsid w:val="00E83E40"/>
    <w:rsid w:val="00E86C34"/>
    <w:rsid w:val="00E86C60"/>
    <w:rsid w:val="00E8719A"/>
    <w:rsid w:val="00E91EBA"/>
    <w:rsid w:val="00E949CF"/>
    <w:rsid w:val="00E95BBF"/>
    <w:rsid w:val="00E97E72"/>
    <w:rsid w:val="00EA2D97"/>
    <w:rsid w:val="00EB20AF"/>
    <w:rsid w:val="00EB2241"/>
    <w:rsid w:val="00ED0ABB"/>
    <w:rsid w:val="00ED312B"/>
    <w:rsid w:val="00ED4D48"/>
    <w:rsid w:val="00EE0D4F"/>
    <w:rsid w:val="00EE1761"/>
    <w:rsid w:val="00EE3032"/>
    <w:rsid w:val="00EF64B1"/>
    <w:rsid w:val="00EF6537"/>
    <w:rsid w:val="00EF6AD8"/>
    <w:rsid w:val="00EF7AB5"/>
    <w:rsid w:val="00F01E3A"/>
    <w:rsid w:val="00F0325E"/>
    <w:rsid w:val="00F15FAB"/>
    <w:rsid w:val="00F215F4"/>
    <w:rsid w:val="00F32132"/>
    <w:rsid w:val="00F4225F"/>
    <w:rsid w:val="00F5005E"/>
    <w:rsid w:val="00F61F90"/>
    <w:rsid w:val="00F65A07"/>
    <w:rsid w:val="00F6741A"/>
    <w:rsid w:val="00F930EE"/>
    <w:rsid w:val="00FA73AB"/>
    <w:rsid w:val="00FA76FB"/>
    <w:rsid w:val="00FB696A"/>
    <w:rsid w:val="00FC67FF"/>
    <w:rsid w:val="00FC70DC"/>
    <w:rsid w:val="00FC7187"/>
    <w:rsid w:val="00FD296F"/>
    <w:rsid w:val="00FE3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D52599"/>
  <w15:docId w15:val="{FBB44A3E-C002-42DE-A3EF-1A3EA74A2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8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15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159B"/>
  </w:style>
  <w:style w:type="paragraph" w:styleId="Footer">
    <w:name w:val="footer"/>
    <w:basedOn w:val="Normal"/>
    <w:link w:val="FooterChar"/>
    <w:uiPriority w:val="99"/>
    <w:unhideWhenUsed/>
    <w:rsid w:val="009315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159B"/>
  </w:style>
  <w:style w:type="table" w:styleId="TableGrid">
    <w:name w:val="Table Grid"/>
    <w:basedOn w:val="TableNormal"/>
    <w:uiPriority w:val="59"/>
    <w:rsid w:val="009315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31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59B"/>
    <w:rPr>
      <w:rFonts w:ascii="Tahoma" w:hAnsi="Tahoma" w:cs="Tahoma"/>
      <w:sz w:val="16"/>
      <w:szCs w:val="16"/>
    </w:rPr>
  </w:style>
  <w:style w:type="paragraph" w:customStyle="1" w:styleId="SOPBasis">
    <w:name w:val="SOP Basis"/>
    <w:basedOn w:val="Normal"/>
    <w:qFormat/>
    <w:rsid w:val="00725BD6"/>
    <w:pPr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SOPProprietary">
    <w:name w:val="SOP Proprietary"/>
    <w:basedOn w:val="SOPBasis"/>
    <w:next w:val="SOPBasis"/>
    <w:qFormat/>
    <w:rsid w:val="00725BD6"/>
    <w:pPr>
      <w:tabs>
        <w:tab w:val="right" w:pos="9360"/>
      </w:tabs>
      <w:autoSpaceDE w:val="0"/>
      <w:autoSpaceDN w:val="0"/>
      <w:adjustRightInd w:val="0"/>
      <w:jc w:val="center"/>
    </w:pPr>
    <w:rPr>
      <w:rFonts w:ascii="Arial Narrow" w:hAnsi="Arial Narrow"/>
      <w:smallCaps/>
      <w:color w:val="FF0000"/>
      <w:spacing w:val="30"/>
    </w:rPr>
  </w:style>
  <w:style w:type="paragraph" w:customStyle="1" w:styleId="SOPDesignation">
    <w:name w:val="SOP Designation"/>
    <w:basedOn w:val="SOPBasis"/>
    <w:next w:val="SOPBasis"/>
    <w:autoRedefine/>
    <w:rsid w:val="0093159B"/>
    <w:pPr>
      <w:autoSpaceDE w:val="0"/>
      <w:autoSpaceDN w:val="0"/>
      <w:adjustRightInd w:val="0"/>
      <w:jc w:val="right"/>
    </w:pPr>
    <w:rPr>
      <w:b/>
      <w:bCs/>
      <w:color w:val="000000"/>
    </w:rPr>
  </w:style>
  <w:style w:type="paragraph" w:customStyle="1" w:styleId="SOPDoNotDuplicate">
    <w:name w:val="SOP Do Not Duplicate"/>
    <w:basedOn w:val="SOPBasis"/>
    <w:next w:val="SOPBasis"/>
    <w:autoRedefine/>
    <w:rsid w:val="0093159B"/>
    <w:pPr>
      <w:jc w:val="right"/>
    </w:pPr>
    <w:rPr>
      <w:b/>
      <w:bCs/>
      <w:i/>
      <w:iCs/>
      <w:color w:val="FF0000"/>
    </w:rPr>
  </w:style>
  <w:style w:type="paragraph" w:customStyle="1" w:styleId="SOPTableHeader">
    <w:name w:val="SOP Table Header"/>
    <w:basedOn w:val="SOPBasis"/>
    <w:qFormat/>
    <w:rsid w:val="00725BD6"/>
    <w:pPr>
      <w:tabs>
        <w:tab w:val="right" w:pos="2178"/>
      </w:tabs>
    </w:pPr>
    <w:rPr>
      <w:b/>
      <w:bCs/>
      <w:color w:val="000000"/>
      <w:sz w:val="16"/>
      <w:szCs w:val="16"/>
    </w:rPr>
  </w:style>
  <w:style w:type="paragraph" w:customStyle="1" w:styleId="SOPTableItem">
    <w:name w:val="SOP Table Item"/>
    <w:basedOn w:val="SOPBasis"/>
    <w:qFormat/>
    <w:rsid w:val="00725BD6"/>
    <w:pPr>
      <w:jc w:val="center"/>
    </w:pPr>
    <w:rPr>
      <w:b/>
      <w:bCs/>
      <w:noProof/>
      <w:color w:val="000000"/>
      <w:sz w:val="16"/>
      <w:szCs w:val="16"/>
    </w:rPr>
  </w:style>
  <w:style w:type="paragraph" w:customStyle="1" w:styleId="SOPTableItemSignature">
    <w:name w:val="SOP Table Item Signature"/>
    <w:basedOn w:val="SOPTableItem"/>
    <w:next w:val="SOPTableItem"/>
    <w:autoRedefine/>
    <w:rsid w:val="001A5A2A"/>
    <w:rPr>
      <w:i/>
      <w:color w:val="0000FF"/>
    </w:rPr>
  </w:style>
  <w:style w:type="paragraph" w:customStyle="1" w:styleId="SOPTableItemBold">
    <w:name w:val="SOP Table Item Bold"/>
    <w:basedOn w:val="SOPTableItem"/>
    <w:qFormat/>
    <w:rsid w:val="00725BD6"/>
    <w:rPr>
      <w:bCs w:val="0"/>
      <w:sz w:val="20"/>
      <w:szCs w:val="20"/>
    </w:rPr>
  </w:style>
  <w:style w:type="paragraph" w:customStyle="1" w:styleId="SOPTitle">
    <w:name w:val="SOP Title"/>
    <w:basedOn w:val="SOPBasis"/>
    <w:next w:val="SOPBasis"/>
    <w:qFormat/>
    <w:rsid w:val="00725BD6"/>
    <w:rPr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rsid w:val="00725BD6"/>
    <w:pPr>
      <w:ind w:left="720"/>
      <w:contextualSpacing/>
    </w:pPr>
  </w:style>
  <w:style w:type="paragraph" w:customStyle="1" w:styleId="SOPLevel1">
    <w:name w:val="SOP Level 1"/>
    <w:basedOn w:val="SOPBasis"/>
    <w:qFormat/>
    <w:rsid w:val="00725BD6"/>
    <w:pPr>
      <w:numPr>
        <w:numId w:val="11"/>
      </w:numPr>
      <w:spacing w:before="120" w:after="120"/>
    </w:pPr>
    <w:rPr>
      <w:b/>
      <w:sz w:val="28"/>
    </w:rPr>
  </w:style>
  <w:style w:type="paragraph" w:customStyle="1" w:styleId="SOPLevel2">
    <w:name w:val="SOP Level 2"/>
    <w:basedOn w:val="SOPBasis"/>
    <w:qFormat/>
    <w:rsid w:val="00725BD6"/>
    <w:pPr>
      <w:numPr>
        <w:ilvl w:val="1"/>
        <w:numId w:val="11"/>
      </w:numPr>
      <w:spacing w:before="120" w:after="120"/>
      <w:contextualSpacing/>
    </w:pPr>
  </w:style>
  <w:style w:type="paragraph" w:customStyle="1" w:styleId="SOPLevel3">
    <w:name w:val="SOP Level 3"/>
    <w:basedOn w:val="SOPBasis"/>
    <w:qFormat/>
    <w:rsid w:val="00725BD6"/>
    <w:pPr>
      <w:numPr>
        <w:ilvl w:val="2"/>
        <w:numId w:val="11"/>
      </w:numPr>
      <w:spacing w:before="120" w:after="120"/>
      <w:contextualSpacing/>
    </w:pPr>
  </w:style>
  <w:style w:type="paragraph" w:customStyle="1" w:styleId="SOPLevel4">
    <w:name w:val="SOP Level 4"/>
    <w:basedOn w:val="SOPBasis"/>
    <w:qFormat/>
    <w:rsid w:val="003C4741"/>
    <w:pPr>
      <w:numPr>
        <w:ilvl w:val="3"/>
        <w:numId w:val="2"/>
      </w:numPr>
      <w:tabs>
        <w:tab w:val="clear" w:pos="2016"/>
      </w:tabs>
      <w:spacing w:before="120" w:after="120"/>
      <w:ind w:left="2880" w:hanging="864"/>
      <w:contextualSpacing/>
    </w:pPr>
  </w:style>
  <w:style w:type="paragraph" w:customStyle="1" w:styleId="SOPLevel5">
    <w:name w:val="SOP Level 5"/>
    <w:basedOn w:val="SOPBasis"/>
    <w:qFormat/>
    <w:rsid w:val="00725BD6"/>
    <w:pPr>
      <w:numPr>
        <w:ilvl w:val="4"/>
        <w:numId w:val="11"/>
      </w:numPr>
      <w:spacing w:before="120" w:after="120"/>
      <w:contextualSpacing/>
    </w:pPr>
  </w:style>
  <w:style w:type="paragraph" w:customStyle="1" w:styleId="SOPLevel6">
    <w:name w:val="SOP Level 6"/>
    <w:basedOn w:val="SOPBasis"/>
    <w:qFormat/>
    <w:rsid w:val="00725BD6"/>
    <w:pPr>
      <w:numPr>
        <w:ilvl w:val="5"/>
        <w:numId w:val="11"/>
      </w:numPr>
      <w:spacing w:before="120" w:after="120"/>
      <w:contextualSpacing/>
    </w:pPr>
  </w:style>
  <w:style w:type="paragraph" w:customStyle="1" w:styleId="SOPFooter">
    <w:name w:val="SOP Footer"/>
    <w:basedOn w:val="SOPBasis"/>
    <w:autoRedefine/>
    <w:qFormat/>
    <w:rsid w:val="00725BD6"/>
    <w:pPr>
      <w:spacing w:before="120"/>
      <w:jc w:val="center"/>
    </w:pPr>
    <w:rPr>
      <w:sz w:val="16"/>
      <w:szCs w:val="16"/>
    </w:rPr>
  </w:style>
  <w:style w:type="character" w:customStyle="1" w:styleId="SOPDefault">
    <w:name w:val="SOP Default"/>
    <w:basedOn w:val="DefaultParagraphFont"/>
    <w:uiPriority w:val="1"/>
    <w:qFormat/>
    <w:rsid w:val="00725BD6"/>
  </w:style>
  <w:style w:type="character" w:customStyle="1" w:styleId="SOPDefinition">
    <w:name w:val="SOP Definition"/>
    <w:basedOn w:val="SOPDefault"/>
    <w:uiPriority w:val="1"/>
    <w:qFormat/>
    <w:rsid w:val="00725BD6"/>
    <w:rPr>
      <w:bdr w:val="single" w:sz="4" w:space="0" w:color="aut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D226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D226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D226A"/>
    <w:rPr>
      <w:vertAlign w:val="superscript"/>
    </w:rPr>
  </w:style>
  <w:style w:type="paragraph" w:customStyle="1" w:styleId="Default">
    <w:name w:val="Default"/>
    <w:rsid w:val="00916E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6B70F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mage">
    <w:name w:val="Image"/>
    <w:basedOn w:val="Normal"/>
    <w:next w:val="Normal"/>
    <w:qFormat/>
    <w:rsid w:val="00725BD6"/>
    <w:pPr>
      <w:spacing w:after="0" w:line="240" w:lineRule="auto"/>
      <w:jc w:val="center"/>
    </w:pPr>
    <w:rPr>
      <w:color w:val="FFFFFF" w:themeColor="background1"/>
    </w:rPr>
  </w:style>
  <w:style w:type="character" w:styleId="Hyperlink">
    <w:name w:val="Hyperlink"/>
    <w:basedOn w:val="DefaultParagraphFont"/>
    <w:uiPriority w:val="99"/>
    <w:semiHidden/>
    <w:unhideWhenUsed/>
    <w:rsid w:val="00C47EC5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C47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C47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C47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47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474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B2C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6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creativecommons.org/licenses/by-nc-sa/4.0/" TargetMode="External"/><Relationship Id="rId1" Type="http://schemas.openxmlformats.org/officeDocument/2006/relationships/hyperlink" Target="http://www.wcgirb.com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TaxCatchAll xmlns="da10565a-bcc9-4bc7-8b0c-313c9763711c" xsi:nil="true"/>
    <lcf76f155ced4ddcb4097134ff3c332f xmlns="b50212f0-8cd0-4347-9523-b2923fa07be6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3106C0D91A1140A2CB07EBA4606A82" ma:contentTypeVersion="17" ma:contentTypeDescription="Create a new document." ma:contentTypeScope="" ma:versionID="6bb0ff38f07dbe402a60bbe417d3e828">
  <xsd:schema xmlns:xsd="http://www.w3.org/2001/XMLSchema" xmlns:xs="http://www.w3.org/2001/XMLSchema" xmlns:p="http://schemas.microsoft.com/office/2006/metadata/properties" xmlns:ns2="da10565a-bcc9-4bc7-8b0c-313c9763711c" xmlns:ns3="b50212f0-8cd0-4347-9523-b2923fa07be6" targetNamespace="http://schemas.microsoft.com/office/2006/metadata/properties" ma:root="true" ma:fieldsID="f5ced4874d66b983384d0848ae20f1b7" ns2:_="" ns3:_="">
    <xsd:import namespace="da10565a-bcc9-4bc7-8b0c-313c9763711c"/>
    <xsd:import namespace="b50212f0-8cd0-4347-9523-b2923fa07be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10565a-bcc9-4bc7-8b0c-313c9763711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b45ea72-63c5-474c-bd61-160602a48d24}" ma:internalName="TaxCatchAll" ma:showField="CatchAllData" ma:web="da10565a-bcc9-4bc7-8b0c-313c976371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0212f0-8cd0-4347-9523-b2923fa07b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6aeeafc-10b8-45d8-a1af-5ed376f9e1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36923F-3C33-48CF-B660-72374B9BD5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95DEC57-53D5-42E1-BFE7-912E257898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7C19E8-F07D-49D9-866C-88742E91BB56}">
  <ds:schemaRefs>
    <ds:schemaRef ds:uri="http://schemas.microsoft.com/office/2006/metadata/properties"/>
    <ds:schemaRef ds:uri="da10565a-bcc9-4bc7-8b0c-313c9763711c"/>
    <ds:schemaRef ds:uri="b50212f0-8cd0-4347-9523-b2923fa07be6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506C2A7-AD73-4F8C-A248-B7FBB2E1B5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10565a-bcc9-4bc7-8b0c-313c9763711c"/>
    <ds:schemaRef ds:uri="b50212f0-8cd0-4347-9523-b2923fa07b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1369</TotalTime>
  <Pages>4</Pages>
  <Words>986</Words>
  <Characters>5624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SOP: Post Review</vt:lpstr>
    </vt:vector>
  </TitlesOfParts>
  <Company>Copyright © 2013 WIRB-Copernicus Group. All rights reserved.</Company>
  <LinksUpToDate>false</LinksUpToDate>
  <CharactersWithSpaces>6597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SOP: Post Review</dc:title>
  <dc:subject>HRP-111</dc:subject>
  <dc:creator>Jeffrey A. Cooper, MD, MMM</dc:creator>
  <dc:description>21 Jan 2019</dc:description>
  <cp:lastModifiedBy>Rachel A Myer</cp:lastModifiedBy>
  <cp:revision>84</cp:revision>
  <dcterms:created xsi:type="dcterms:W3CDTF">2020-04-30T20:15:00Z</dcterms:created>
  <dcterms:modified xsi:type="dcterms:W3CDTF">2025-09-05T12:57:00Z</dcterms:modified>
  <cp:category>AAHRPP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5200</vt:r8>
  </property>
  <property fmtid="{D5CDD505-2E9C-101B-9397-08002B2CF9AE}" pid="3" name="ContentTypeId">
    <vt:lpwstr>0x010100FA3106C0D91A1140A2CB07EBA4606A82</vt:lpwstr>
  </property>
  <property fmtid="{D5CDD505-2E9C-101B-9397-08002B2CF9AE}" pid="4" name="MediaServiceImageTags">
    <vt:lpwstr/>
  </property>
</Properties>
</file>