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8666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766D8667" w14:textId="77777777" w:rsidR="004C046E" w:rsidRPr="004C046E" w:rsidRDefault="003A7343" w:rsidP="001D6D02">
      <w:pPr>
        <w:pStyle w:val="SOPLevel2"/>
      </w:pPr>
      <w:r>
        <w:t>T</w:t>
      </w:r>
      <w:r w:rsidRPr="004C046E">
        <w:t xml:space="preserve">his procedure </w:t>
      </w:r>
      <w:r>
        <w:t xml:space="preserve">establishes the process to </w:t>
      </w:r>
      <w:r w:rsidR="00DD3801">
        <w:t xml:space="preserve">manage </w:t>
      </w:r>
      <w:r w:rsidR="00FB17B0">
        <w:t>unexpected incarcerations of subjects</w:t>
      </w:r>
      <w:r w:rsidR="004C046E" w:rsidRPr="004C046E">
        <w:t>.</w:t>
      </w:r>
    </w:p>
    <w:p w14:paraId="766D8668" w14:textId="77777777" w:rsidR="004C046E" w:rsidRPr="004C046E" w:rsidRDefault="004C046E" w:rsidP="001D6D02">
      <w:pPr>
        <w:pStyle w:val="SOPLevel2"/>
      </w:pPr>
      <w:r w:rsidRPr="004C046E">
        <w:t xml:space="preserve">This procedure begins when an IRB </w:t>
      </w:r>
      <w:r w:rsidR="008836D6">
        <w:t xml:space="preserve">receives information that </w:t>
      </w:r>
      <w:r w:rsidR="00FB17B0">
        <w:t xml:space="preserve">a subject in a </w:t>
      </w:r>
      <w:r w:rsidR="00B7626E">
        <w:t>study</w:t>
      </w:r>
      <w:r w:rsidR="00FB17B0">
        <w:t xml:space="preserve"> not approved for involvement of prisoners as subjects</w:t>
      </w:r>
      <w:r w:rsidR="00FB17B0" w:rsidRPr="00FB17B0">
        <w:t xml:space="preserve"> </w:t>
      </w:r>
      <w:r w:rsidR="00FB17B0">
        <w:t>has been incarcerated</w:t>
      </w:r>
      <w:r w:rsidRPr="004C046E">
        <w:t>.</w:t>
      </w:r>
    </w:p>
    <w:p w14:paraId="42DB2E7A" w14:textId="77777777" w:rsidR="007C4048" w:rsidRPr="004C046E" w:rsidRDefault="007C4048" w:rsidP="007C4048">
      <w:pPr>
        <w:pStyle w:val="SOPLevel2"/>
      </w:pPr>
      <w:r w:rsidRPr="004C046E">
        <w:t>This procedure ends when</w:t>
      </w:r>
      <w:r>
        <w:t xml:space="preserve"> all actions have been taken to protect the rights and welfare of the subject prior to &lt;Committee Review&gt;. </w:t>
      </w:r>
    </w:p>
    <w:p w14:paraId="766D866A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766D866B" w14:textId="77777777" w:rsidR="000E3502" w:rsidRPr="000E3502" w:rsidRDefault="00FB17B0" w:rsidP="001D6D02">
      <w:pPr>
        <w:pStyle w:val="SOPLevel2"/>
      </w:pPr>
      <w:r>
        <w:t>None</w:t>
      </w:r>
    </w:p>
    <w:p w14:paraId="766D866C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5835CA8B" w14:textId="22A82E89" w:rsidR="007C4048" w:rsidRDefault="007C4048" w:rsidP="007C4048">
      <w:pPr>
        <w:pStyle w:val="SOPLevel2"/>
        <w:numPr>
          <w:ilvl w:val="1"/>
          <w:numId w:val="3"/>
        </w:numPr>
      </w:pPr>
      <w:r>
        <w:t>HRPP staff members carry out these procedures or ensure they are carried out by other personnel.</w:t>
      </w:r>
    </w:p>
    <w:p w14:paraId="766D866E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766D866F" w14:textId="77777777" w:rsidR="004E1CF5" w:rsidRDefault="004E1CF5" w:rsidP="001D6D02">
      <w:pPr>
        <w:pStyle w:val="SOPLevel2"/>
        <w:rPr>
          <w:rStyle w:val="SOPDefault"/>
        </w:rPr>
      </w:pPr>
      <w:r w:rsidRPr="004E1CF5">
        <w:rPr>
          <w:rStyle w:val="SOPDefault"/>
        </w:rPr>
        <w:t xml:space="preserve">Confirm that the </w:t>
      </w:r>
      <w:r w:rsidR="00692BAA">
        <w:rPr>
          <w:rStyle w:val="SOPDefault"/>
        </w:rPr>
        <w:t>subject</w:t>
      </w:r>
      <w:r w:rsidR="00F1271D">
        <w:rPr>
          <w:rStyle w:val="SOPDefault"/>
        </w:rPr>
        <w:t xml:space="preserve"> meets the definition of a &lt;P</w:t>
      </w:r>
      <w:r w:rsidRPr="004E1CF5">
        <w:rPr>
          <w:rStyle w:val="SOPDefault"/>
        </w:rPr>
        <w:t>risoner</w:t>
      </w:r>
      <w:r w:rsidR="00F1271D">
        <w:rPr>
          <w:rStyle w:val="SOPDefault"/>
        </w:rPr>
        <w:t>&gt;</w:t>
      </w:r>
      <w:r w:rsidRPr="004E1CF5">
        <w:rPr>
          <w:rStyle w:val="SOPDefault"/>
        </w:rPr>
        <w:t>.</w:t>
      </w:r>
    </w:p>
    <w:p w14:paraId="766D8670" w14:textId="77777777" w:rsidR="004B7B69" w:rsidRDefault="004B7B69" w:rsidP="004B7B69">
      <w:pPr>
        <w:pStyle w:val="SOPLevel3"/>
        <w:rPr>
          <w:rStyle w:val="SOPDefault"/>
        </w:rPr>
      </w:pPr>
      <w:r>
        <w:rPr>
          <w:rStyle w:val="SOPDefault"/>
        </w:rPr>
        <w:t>If not, take no further action.</w:t>
      </w:r>
    </w:p>
    <w:p w14:paraId="766D8671" w14:textId="77777777" w:rsidR="00F1271D" w:rsidRDefault="00F1271D" w:rsidP="001D6D02">
      <w:pPr>
        <w:pStyle w:val="SOPLevel2"/>
        <w:rPr>
          <w:rStyle w:val="SOPDefault"/>
        </w:rPr>
      </w:pPr>
      <w:r>
        <w:rPr>
          <w:rStyle w:val="SOPDefault"/>
        </w:rPr>
        <w:t xml:space="preserve">Determine whether any research procedures </w:t>
      </w:r>
      <w:r w:rsidR="00D26FF1">
        <w:rPr>
          <w:rStyle w:val="SOPDefault"/>
        </w:rPr>
        <w:t>need to take</w:t>
      </w:r>
      <w:r>
        <w:rPr>
          <w:rStyle w:val="SOPDefault"/>
        </w:rPr>
        <w:t xml:space="preserve"> place </w:t>
      </w:r>
      <w:r w:rsidR="00D26FF1">
        <w:rPr>
          <w:rStyle w:val="SOPDefault"/>
        </w:rPr>
        <w:t>while</w:t>
      </w:r>
      <w:r>
        <w:rPr>
          <w:rStyle w:val="SOPDefault"/>
        </w:rPr>
        <w:t xml:space="preserve"> the subject is a &lt;Prisoner&gt;.</w:t>
      </w:r>
    </w:p>
    <w:p w14:paraId="766D8672" w14:textId="77777777" w:rsidR="00F1271D" w:rsidRDefault="00F1271D" w:rsidP="00F1271D">
      <w:pPr>
        <w:pStyle w:val="SOPLevel3"/>
        <w:rPr>
          <w:rStyle w:val="SOPDefault"/>
        </w:rPr>
      </w:pPr>
      <w:r>
        <w:rPr>
          <w:rStyle w:val="SOPDefault"/>
        </w:rPr>
        <w:t xml:space="preserve">If none, </w:t>
      </w:r>
      <w:r w:rsidR="00D26FF1">
        <w:rPr>
          <w:rStyle w:val="SOPDefault"/>
        </w:rPr>
        <w:t xml:space="preserve">ensure that the investigator will not perform any research procedures until the subject is no longer a &lt;Prisoner&gt; and </w:t>
      </w:r>
      <w:r>
        <w:rPr>
          <w:rStyle w:val="SOPDefault"/>
        </w:rPr>
        <w:t>take no further action.</w:t>
      </w:r>
    </w:p>
    <w:p w14:paraId="766D8673" w14:textId="77777777" w:rsidR="001D6D02" w:rsidRDefault="001D6D02" w:rsidP="001D6D02">
      <w:pPr>
        <w:pStyle w:val="SOPLevel2"/>
        <w:rPr>
          <w:rStyle w:val="SOPDefault"/>
        </w:rPr>
      </w:pPr>
      <w:r>
        <w:rPr>
          <w:rStyle w:val="SOPDefault"/>
        </w:rPr>
        <w:t>Determine</w:t>
      </w:r>
      <w:r w:rsidRPr="004E1CF5">
        <w:rPr>
          <w:rStyle w:val="SOPDefault"/>
        </w:rPr>
        <w:t xml:space="preserve"> whether it is feasible for the </w:t>
      </w:r>
      <w:r>
        <w:rPr>
          <w:rStyle w:val="SOPDefault"/>
        </w:rPr>
        <w:t>subject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>research</w:t>
      </w:r>
      <w:r w:rsidRPr="004E1CF5">
        <w:rPr>
          <w:rStyle w:val="SOPDefault"/>
        </w:rPr>
        <w:t>.</w:t>
      </w:r>
    </w:p>
    <w:p w14:paraId="766D8674" w14:textId="77777777" w:rsidR="001D6D02" w:rsidRPr="004E1CF5" w:rsidRDefault="001D6D02" w:rsidP="001D6D02">
      <w:pPr>
        <w:pStyle w:val="SOPLevel3"/>
        <w:rPr>
          <w:rStyle w:val="SOPDefault"/>
        </w:rPr>
      </w:pPr>
      <w:r>
        <w:rPr>
          <w:rStyle w:val="SOPDefault"/>
        </w:rPr>
        <w:t xml:space="preserve">If </w:t>
      </w:r>
      <w:r w:rsidRPr="004E1CF5">
        <w:rPr>
          <w:rStyle w:val="SOPDefault"/>
        </w:rPr>
        <w:t xml:space="preserve">it is </w:t>
      </w:r>
      <w:r>
        <w:rPr>
          <w:rStyle w:val="SOPDefault"/>
        </w:rPr>
        <w:t xml:space="preserve">not </w:t>
      </w:r>
      <w:r w:rsidRPr="004E1CF5">
        <w:rPr>
          <w:rStyle w:val="SOPDefault"/>
        </w:rPr>
        <w:t xml:space="preserve">feasible for the </w:t>
      </w:r>
      <w:r>
        <w:rPr>
          <w:rStyle w:val="SOPDefault"/>
        </w:rPr>
        <w:t>subject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 xml:space="preserve">research, </w:t>
      </w:r>
      <w:r w:rsidR="00F1271D">
        <w:rPr>
          <w:rStyle w:val="SOPDefault"/>
        </w:rPr>
        <w:t>have the investigator withdraw the subject</w:t>
      </w:r>
      <w:r w:rsidR="004B7B69">
        <w:rPr>
          <w:rStyle w:val="SOPDefault"/>
        </w:rPr>
        <w:t>,</w:t>
      </w:r>
      <w:r w:rsidR="00F1271D">
        <w:rPr>
          <w:rStyle w:val="SOPDefault"/>
        </w:rPr>
        <w:t xml:space="preserve"> </w:t>
      </w:r>
      <w:r w:rsidR="004B7B69" w:rsidRPr="00692BAA">
        <w:rPr>
          <w:rStyle w:val="SOPDefault"/>
        </w:rPr>
        <w:t xml:space="preserve">consider the risks associated with terminating participation in the </w:t>
      </w:r>
      <w:r w:rsidR="004B7B69">
        <w:rPr>
          <w:rStyle w:val="SOPDefault"/>
        </w:rPr>
        <w:t xml:space="preserve">research, </w:t>
      </w:r>
      <w:r w:rsidR="00F1271D">
        <w:rPr>
          <w:rStyle w:val="SOPDefault"/>
        </w:rPr>
        <w:t>and implement</w:t>
      </w:r>
      <w:r>
        <w:rPr>
          <w:rStyle w:val="SOPDefault"/>
        </w:rPr>
        <w:t xml:space="preserve"> actions </w:t>
      </w:r>
      <w:r w:rsidR="00F1271D">
        <w:rPr>
          <w:rStyle w:val="SOPDefault"/>
        </w:rPr>
        <w:t>as needed</w:t>
      </w:r>
      <w:r>
        <w:rPr>
          <w:rStyle w:val="SOPDefault"/>
        </w:rPr>
        <w:t xml:space="preserve"> to protect the subject’s rights and welfare</w:t>
      </w:r>
      <w:r w:rsidR="00D26FF1">
        <w:rPr>
          <w:rStyle w:val="SOPDefault"/>
        </w:rPr>
        <w:t>, such as alternative treatment or expanded access</w:t>
      </w:r>
      <w:r>
        <w:rPr>
          <w:rStyle w:val="SOPDefault"/>
        </w:rPr>
        <w:t>.</w:t>
      </w:r>
    </w:p>
    <w:p w14:paraId="766D8675" w14:textId="77777777" w:rsidR="00F1271D" w:rsidRDefault="00F1271D" w:rsidP="00F1271D">
      <w:pPr>
        <w:pStyle w:val="SOPLevel2"/>
        <w:rPr>
          <w:rStyle w:val="SOPDefault"/>
        </w:rPr>
      </w:pPr>
      <w:r>
        <w:rPr>
          <w:rStyle w:val="SOPDefault"/>
        </w:rPr>
        <w:t>Determine</w:t>
      </w:r>
      <w:r w:rsidRPr="004E1CF5">
        <w:rPr>
          <w:rStyle w:val="SOPDefault"/>
        </w:rPr>
        <w:t xml:space="preserve"> whether it is </w:t>
      </w:r>
      <w:r>
        <w:rPr>
          <w:rStyle w:val="SOPDefault"/>
        </w:rPr>
        <w:t>in the subject’s best interests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>research</w:t>
      </w:r>
      <w:r w:rsidRPr="004E1CF5">
        <w:rPr>
          <w:rStyle w:val="SOPDefault"/>
        </w:rPr>
        <w:t>.</w:t>
      </w:r>
    </w:p>
    <w:p w14:paraId="766D8676" w14:textId="77777777" w:rsidR="00F1271D" w:rsidRPr="004E1CF5" w:rsidRDefault="00F1271D" w:rsidP="00F1271D">
      <w:pPr>
        <w:pStyle w:val="SOPLevel3"/>
        <w:rPr>
          <w:rStyle w:val="SOPDefault"/>
        </w:rPr>
      </w:pPr>
      <w:r>
        <w:rPr>
          <w:rStyle w:val="SOPDefault"/>
        </w:rPr>
        <w:t xml:space="preserve">If </w:t>
      </w:r>
      <w:r w:rsidRPr="004E1CF5">
        <w:rPr>
          <w:rStyle w:val="SOPDefault"/>
        </w:rPr>
        <w:t xml:space="preserve">it is </w:t>
      </w:r>
      <w:r>
        <w:rPr>
          <w:rStyle w:val="SOPDefault"/>
        </w:rPr>
        <w:t>not in the subject’s best interest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>research, have the investigator withdraw the subject</w:t>
      </w:r>
      <w:r w:rsidR="004B7B69">
        <w:rPr>
          <w:rStyle w:val="SOPDefault"/>
        </w:rPr>
        <w:t xml:space="preserve">, </w:t>
      </w:r>
      <w:r w:rsidR="004B7B69" w:rsidRPr="00692BAA">
        <w:rPr>
          <w:rStyle w:val="SOPDefault"/>
        </w:rPr>
        <w:t xml:space="preserve">consider the risks associated with terminating participation in the </w:t>
      </w:r>
      <w:r w:rsidR="004B7B69">
        <w:rPr>
          <w:rStyle w:val="SOPDefault"/>
        </w:rPr>
        <w:t>research, and implement actions as needed to protect the subject’s rights and welfare</w:t>
      </w:r>
      <w:r w:rsidR="00D26FF1">
        <w:rPr>
          <w:rStyle w:val="SOPDefault"/>
        </w:rPr>
        <w:t>, such as alternative treatment or expanded access</w:t>
      </w:r>
      <w:r w:rsidR="004B7B69">
        <w:rPr>
          <w:rStyle w:val="SOPDefault"/>
        </w:rPr>
        <w:t>.</w:t>
      </w:r>
    </w:p>
    <w:p w14:paraId="5D834AC1" w14:textId="77777777" w:rsidR="0048143D" w:rsidRDefault="0048143D" w:rsidP="004B7B69">
      <w:pPr>
        <w:pStyle w:val="SOPLevel2"/>
        <w:rPr>
          <w:rStyle w:val="SOPDefault"/>
        </w:rPr>
      </w:pPr>
      <w:r>
        <w:rPr>
          <w:rStyle w:val="SOPDefault"/>
        </w:rPr>
        <w:t>If</w:t>
      </w:r>
      <w:r w:rsidRPr="004E1CF5">
        <w:rPr>
          <w:rStyle w:val="SOPDefault"/>
        </w:rPr>
        <w:t xml:space="preserve"> feasible for the </w:t>
      </w:r>
      <w:r>
        <w:rPr>
          <w:rStyle w:val="SOPDefault"/>
        </w:rPr>
        <w:t>subject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>research and in the subject’s best interests</w:t>
      </w:r>
      <w:r w:rsidRPr="004E1CF5">
        <w:rPr>
          <w:rStyle w:val="SOPDefault"/>
        </w:rPr>
        <w:t xml:space="preserve"> to remain in the </w:t>
      </w:r>
      <w:r>
        <w:rPr>
          <w:rStyle w:val="SOPDefault"/>
        </w:rPr>
        <w:t>research:</w:t>
      </w:r>
    </w:p>
    <w:p w14:paraId="766D8677" w14:textId="49D84FB1" w:rsidR="004B7B69" w:rsidRDefault="0048143D" w:rsidP="0048143D">
      <w:pPr>
        <w:pStyle w:val="SOPLevel3"/>
        <w:rPr>
          <w:rStyle w:val="SOPDefault"/>
        </w:rPr>
      </w:pPr>
      <w:r>
        <w:rPr>
          <w:rStyle w:val="SOPDefault"/>
        </w:rPr>
        <w:t>K</w:t>
      </w:r>
      <w:r w:rsidR="00692BAA" w:rsidRPr="00692BAA">
        <w:rPr>
          <w:rStyle w:val="SOPDefault"/>
        </w:rPr>
        <w:t xml:space="preserve">eep the </w:t>
      </w:r>
      <w:r w:rsidR="001D6D02">
        <w:rPr>
          <w:rStyle w:val="SOPDefault"/>
        </w:rPr>
        <w:t>subject</w:t>
      </w:r>
      <w:r w:rsidR="00692BAA" w:rsidRPr="00692BAA">
        <w:rPr>
          <w:rStyle w:val="SOPDefault"/>
        </w:rPr>
        <w:t xml:space="preserve"> enrolled in the </w:t>
      </w:r>
      <w:r w:rsidR="001D6D02">
        <w:rPr>
          <w:rStyle w:val="SOPDefault"/>
        </w:rPr>
        <w:t>research</w:t>
      </w:r>
    </w:p>
    <w:p w14:paraId="34FC0F9F" w14:textId="74BC9008" w:rsidR="00CF1185" w:rsidRDefault="00CF1185" w:rsidP="0048143D">
      <w:pPr>
        <w:pStyle w:val="SOPLevel3"/>
        <w:rPr>
          <w:rStyle w:val="SOPDefault"/>
        </w:rPr>
      </w:pPr>
      <w:r>
        <w:rPr>
          <w:rStyle w:val="SOPDefault"/>
        </w:rPr>
        <w:t>Use “CHECKLIST: Unexpected Incarceration (HRP-309)”</w:t>
      </w:r>
    </w:p>
    <w:p w14:paraId="766D867E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766D867F" w14:textId="13CBAD0A" w:rsidR="00D26FF1" w:rsidRDefault="00D26FF1" w:rsidP="00D26FF1">
      <w:pPr>
        <w:pStyle w:val="SOPLevel2"/>
        <w:numPr>
          <w:ilvl w:val="1"/>
          <w:numId w:val="3"/>
        </w:numPr>
      </w:pPr>
      <w:r>
        <w:t>DOD Instruction 3216.02</w:t>
      </w:r>
    </w:p>
    <w:p w14:paraId="766D8680" w14:textId="77777777" w:rsidR="00D26FF1" w:rsidRPr="0027369B" w:rsidRDefault="006B08EB" w:rsidP="006B08EB">
      <w:pPr>
        <w:pStyle w:val="SOPLevel2"/>
        <w:numPr>
          <w:ilvl w:val="1"/>
          <w:numId w:val="3"/>
        </w:numPr>
      </w:pPr>
      <w:r>
        <w:t xml:space="preserve">OHRP Guidance: </w:t>
      </w:r>
      <w:r w:rsidRPr="006B08EB">
        <w:t>Prisoner Research - FAQs</w:t>
      </w:r>
    </w:p>
    <w:sectPr w:rsidR="00D26FF1" w:rsidRPr="0027369B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FF36" w14:textId="77777777" w:rsidR="002E1DDB" w:rsidRDefault="002E1DDB" w:rsidP="0093159B">
      <w:pPr>
        <w:spacing w:after="0" w:line="240" w:lineRule="auto"/>
      </w:pPr>
      <w:r>
        <w:separator/>
      </w:r>
    </w:p>
  </w:endnote>
  <w:endnote w:type="continuationSeparator" w:id="0">
    <w:p w14:paraId="1D8DC0F3" w14:textId="77777777" w:rsidR="002E1DDB" w:rsidRDefault="002E1DDB" w:rsidP="0093159B">
      <w:pPr>
        <w:spacing w:after="0" w:line="240" w:lineRule="auto"/>
      </w:pPr>
      <w:r>
        <w:continuationSeparator/>
      </w:r>
    </w:p>
  </w:endnote>
  <w:endnote w:type="continuationNotice" w:id="1">
    <w:p w14:paraId="657157B5" w14:textId="77777777" w:rsidR="002E1DDB" w:rsidRDefault="002E1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A07B" w14:textId="77777777" w:rsidR="005D2CBB" w:rsidRDefault="005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869A" w14:textId="7E0E2A94" w:rsidR="00956356" w:rsidRPr="009F2391" w:rsidRDefault="00761C86" w:rsidP="009F2391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025" w14:textId="77777777" w:rsidR="005D2CBB" w:rsidRDefault="005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74DD" w14:textId="77777777" w:rsidR="002E1DDB" w:rsidRDefault="002E1DDB" w:rsidP="0093159B">
      <w:pPr>
        <w:spacing w:after="0" w:line="240" w:lineRule="auto"/>
      </w:pPr>
      <w:r>
        <w:separator/>
      </w:r>
    </w:p>
  </w:footnote>
  <w:footnote w:type="continuationSeparator" w:id="0">
    <w:p w14:paraId="612165BF" w14:textId="77777777" w:rsidR="002E1DDB" w:rsidRDefault="002E1DDB" w:rsidP="0093159B">
      <w:pPr>
        <w:spacing w:after="0" w:line="240" w:lineRule="auto"/>
      </w:pPr>
      <w:r>
        <w:continuationSeparator/>
      </w:r>
    </w:p>
  </w:footnote>
  <w:footnote w:type="continuationNotice" w:id="1">
    <w:p w14:paraId="6A77DB9D" w14:textId="77777777" w:rsidR="002E1DDB" w:rsidRDefault="002E1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1DD3" w14:textId="77777777" w:rsidR="005D2CBB" w:rsidRDefault="005D2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ED6531" w:rsidRPr="00ED6531" w14:paraId="766D8688" w14:textId="77777777" w:rsidTr="00DB7DAF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66D8686" w14:textId="4B569A6E" w:rsidR="00ED6531" w:rsidRPr="00ED6531" w:rsidRDefault="00D94854" w:rsidP="00D94854">
          <w:pPr>
            <w:tabs>
              <w:tab w:val="right" w:pos="2178"/>
            </w:tabs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546F3E48" wp14:editId="6B3CCD8C">
                <wp:extent cx="1778001" cy="561474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_Primary_Red_Black_jpg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65" cy="571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D8687" w14:textId="77777777" w:rsidR="00ED6531" w:rsidRPr="00ED6531" w:rsidRDefault="00ED6531" w:rsidP="00ED6531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ED6531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ED6531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ED6531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094467">
            <w:rPr>
              <w:rFonts w:ascii="Arial" w:hAnsi="Arial" w:cs="Arial"/>
              <w:b/>
              <w:bCs/>
              <w:sz w:val="28"/>
              <w:szCs w:val="28"/>
            </w:rPr>
            <w:t>SOP: Unexpected Incarceration</w:t>
          </w:r>
          <w:r w:rsidRPr="00ED6531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ED6531" w:rsidRPr="00ED6531" w14:paraId="766D868E" w14:textId="77777777" w:rsidTr="00DB7DAF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66D8689" w14:textId="77777777" w:rsidR="00ED6531" w:rsidRPr="00ED6531" w:rsidRDefault="00ED6531" w:rsidP="00ED6531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66D868A" w14:textId="77777777" w:rsidR="00ED6531" w:rsidRPr="00ED6531" w:rsidRDefault="00ED6531" w:rsidP="00236B8C">
          <w:pPr>
            <w:pStyle w:val="SOPTableHeader"/>
          </w:pPr>
          <w:r w:rsidRPr="00ED6531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66D868B" w14:textId="77777777" w:rsidR="00ED6531" w:rsidRPr="00ED6531" w:rsidRDefault="00ED6531" w:rsidP="00236B8C">
          <w:pPr>
            <w:pStyle w:val="SOPTableHeader"/>
          </w:pPr>
          <w:r w:rsidRPr="00ED6531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66D868C" w14:textId="77777777" w:rsidR="00ED6531" w:rsidRPr="00ED6531" w:rsidRDefault="00ED6531" w:rsidP="00236B8C">
          <w:pPr>
            <w:pStyle w:val="SOPTableHeader"/>
          </w:pPr>
          <w:r w:rsidRPr="00ED6531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66D868D" w14:textId="77777777" w:rsidR="00ED6531" w:rsidRPr="00ED6531" w:rsidRDefault="00ED6531" w:rsidP="00236B8C">
          <w:pPr>
            <w:pStyle w:val="SOPTableHeader"/>
          </w:pPr>
          <w:r w:rsidRPr="00ED6531">
            <w:t>Page:</w:t>
          </w:r>
        </w:p>
      </w:tc>
    </w:tr>
    <w:tr w:rsidR="00ED6531" w:rsidRPr="00ED6531" w14:paraId="766D8694" w14:textId="77777777" w:rsidTr="00DB7DAF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66D868F" w14:textId="77777777" w:rsidR="00ED6531" w:rsidRPr="00ED6531" w:rsidRDefault="00ED6531" w:rsidP="00ED6531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D8690" w14:textId="77777777" w:rsidR="00ED6531" w:rsidRPr="00ED6531" w:rsidRDefault="00094467" w:rsidP="00236B8C">
          <w:pPr>
            <w:pStyle w:val="SOPTableItemBold"/>
          </w:pPr>
          <w:fldSimple w:instr=" SUBJECT   \* MERGEFORMAT ">
            <w:r>
              <w:t>HRP-113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D8691" w14:textId="07BA1A46" w:rsidR="00ED6531" w:rsidRPr="00ED6531" w:rsidRDefault="00ED6531" w:rsidP="00236B8C">
          <w:pPr>
            <w:pStyle w:val="SOPTableItemBold"/>
          </w:pPr>
          <w:r w:rsidRPr="00ED6531">
            <w:t>00</w:t>
          </w:r>
          <w:r w:rsidR="002701A1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66D8692" w14:textId="7B08B151" w:rsidR="00ED6531" w:rsidRPr="005659F4" w:rsidRDefault="005D2CBB" w:rsidP="00DB7DAF">
          <w:pPr>
            <w:pStyle w:val="SOPTableItemBold"/>
          </w:pPr>
          <w:r w:rsidRPr="005D2CBB">
            <w:t>06 SEP 2025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D8693" w14:textId="77777777" w:rsidR="00ED6531" w:rsidRPr="00ED6531" w:rsidRDefault="00ED6531" w:rsidP="00236B8C">
          <w:pPr>
            <w:pStyle w:val="SOPTableItemBold"/>
          </w:pPr>
          <w:r w:rsidRPr="00ED6531">
            <w:t xml:space="preserve">Page </w:t>
          </w:r>
          <w:r w:rsidRPr="00ED6531">
            <w:fldChar w:fldCharType="begin"/>
          </w:r>
          <w:r w:rsidRPr="00ED6531">
            <w:instrText xml:space="preserve"> PAGE  \* Arabic  \* MERGEFORMAT </w:instrText>
          </w:r>
          <w:r w:rsidRPr="00ED6531">
            <w:fldChar w:fldCharType="separate"/>
          </w:r>
          <w:r w:rsidR="00094467">
            <w:t>1</w:t>
          </w:r>
          <w:r w:rsidRPr="00ED6531">
            <w:fldChar w:fldCharType="end"/>
          </w:r>
          <w:r w:rsidRPr="00ED6531">
            <w:t xml:space="preserve"> of </w:t>
          </w:r>
          <w:fldSimple w:instr=" NUMPAGES  \* Arabic  \* MERGEFORMAT ">
            <w:r w:rsidR="00094467">
              <w:t>1</w:t>
            </w:r>
          </w:fldSimple>
        </w:p>
      </w:tc>
    </w:tr>
  </w:tbl>
  <w:p w14:paraId="766D8695" w14:textId="77777777" w:rsidR="00ED6531" w:rsidRPr="00ED6531" w:rsidRDefault="00ED6531" w:rsidP="00ED6531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ED6531">
      <w:rPr>
        <w:rFonts w:ascii="Calibri" w:eastAsia="Calibri" w:hAnsi="Calibri" w:cs="Times New Roman"/>
        <w:sz w:val="2"/>
        <w:szCs w:val="2"/>
      </w:rPr>
      <w:tab/>
    </w:r>
  </w:p>
  <w:p w14:paraId="766D8696" w14:textId="77777777" w:rsidR="00ED6531" w:rsidRPr="00ED6531" w:rsidRDefault="00ED6531" w:rsidP="00ED6531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66D8697" w14:textId="77777777" w:rsidR="00ED6531" w:rsidRPr="00ED6531" w:rsidRDefault="00ED6531" w:rsidP="00ED6531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66D8698" w14:textId="77777777" w:rsidR="006D21A8" w:rsidRPr="00ED6531" w:rsidRDefault="006D21A8" w:rsidP="00ED653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D9FE" w14:textId="77777777" w:rsidR="005D2CBB" w:rsidRDefault="005D2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7619152">
    <w:abstractNumId w:val="1"/>
  </w:num>
  <w:num w:numId="2" w16cid:durableId="201796394">
    <w:abstractNumId w:val="0"/>
  </w:num>
  <w:num w:numId="3" w16cid:durableId="79699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51891">
    <w:abstractNumId w:val="0"/>
  </w:num>
  <w:num w:numId="5" w16cid:durableId="301353774">
    <w:abstractNumId w:val="0"/>
  </w:num>
  <w:num w:numId="6" w16cid:durableId="1874923447">
    <w:abstractNumId w:val="0"/>
  </w:num>
  <w:num w:numId="7" w16cid:durableId="29689742">
    <w:abstractNumId w:val="0"/>
  </w:num>
  <w:num w:numId="8" w16cid:durableId="1787120896">
    <w:abstractNumId w:val="0"/>
  </w:num>
  <w:num w:numId="9" w16cid:durableId="68132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BF"/>
    <w:rsid w:val="000001A0"/>
    <w:rsid w:val="00012FB6"/>
    <w:rsid w:val="00016E75"/>
    <w:rsid w:val="00023BF1"/>
    <w:rsid w:val="000404B6"/>
    <w:rsid w:val="00057B72"/>
    <w:rsid w:val="00064708"/>
    <w:rsid w:val="00077E27"/>
    <w:rsid w:val="00093F34"/>
    <w:rsid w:val="00094467"/>
    <w:rsid w:val="000D5B18"/>
    <w:rsid w:val="000E1AC8"/>
    <w:rsid w:val="000E3502"/>
    <w:rsid w:val="00101F84"/>
    <w:rsid w:val="00127F26"/>
    <w:rsid w:val="0013294A"/>
    <w:rsid w:val="00137993"/>
    <w:rsid w:val="00173CFA"/>
    <w:rsid w:val="00186554"/>
    <w:rsid w:val="00193E15"/>
    <w:rsid w:val="001A5A2A"/>
    <w:rsid w:val="001B2264"/>
    <w:rsid w:val="001C3CF2"/>
    <w:rsid w:val="001C3FF9"/>
    <w:rsid w:val="001C443A"/>
    <w:rsid w:val="001D51DF"/>
    <w:rsid w:val="001D6D02"/>
    <w:rsid w:val="00202BF5"/>
    <w:rsid w:val="0020344B"/>
    <w:rsid w:val="00223FDC"/>
    <w:rsid w:val="00236B8C"/>
    <w:rsid w:val="002701A1"/>
    <w:rsid w:val="0027369B"/>
    <w:rsid w:val="00274466"/>
    <w:rsid w:val="00282D03"/>
    <w:rsid w:val="00290712"/>
    <w:rsid w:val="002954AD"/>
    <w:rsid w:val="002C1BEA"/>
    <w:rsid w:val="002D06A0"/>
    <w:rsid w:val="002D4539"/>
    <w:rsid w:val="002E1DDB"/>
    <w:rsid w:val="002E318D"/>
    <w:rsid w:val="002F2FC0"/>
    <w:rsid w:val="002F3B9D"/>
    <w:rsid w:val="003105FA"/>
    <w:rsid w:val="00314F0D"/>
    <w:rsid w:val="00332ADF"/>
    <w:rsid w:val="00354910"/>
    <w:rsid w:val="0035680A"/>
    <w:rsid w:val="00364182"/>
    <w:rsid w:val="00375A4E"/>
    <w:rsid w:val="003866FB"/>
    <w:rsid w:val="003931C7"/>
    <w:rsid w:val="003A7302"/>
    <w:rsid w:val="003A7343"/>
    <w:rsid w:val="003A7F1F"/>
    <w:rsid w:val="003D226A"/>
    <w:rsid w:val="003F04B6"/>
    <w:rsid w:val="003F128B"/>
    <w:rsid w:val="00406B88"/>
    <w:rsid w:val="00445A4A"/>
    <w:rsid w:val="004664B5"/>
    <w:rsid w:val="0048143D"/>
    <w:rsid w:val="004A651A"/>
    <w:rsid w:val="004A6B24"/>
    <w:rsid w:val="004B7B69"/>
    <w:rsid w:val="004C046E"/>
    <w:rsid w:val="004D6EE3"/>
    <w:rsid w:val="004E1CF5"/>
    <w:rsid w:val="004F77C4"/>
    <w:rsid w:val="004F7D0C"/>
    <w:rsid w:val="00512BC9"/>
    <w:rsid w:val="00540075"/>
    <w:rsid w:val="00561D18"/>
    <w:rsid w:val="00563DAB"/>
    <w:rsid w:val="005659F4"/>
    <w:rsid w:val="00584BB5"/>
    <w:rsid w:val="005918B4"/>
    <w:rsid w:val="005B32FA"/>
    <w:rsid w:val="005B6E88"/>
    <w:rsid w:val="005C1A71"/>
    <w:rsid w:val="005D2CBB"/>
    <w:rsid w:val="005D6164"/>
    <w:rsid w:val="005E74D7"/>
    <w:rsid w:val="005F6A3E"/>
    <w:rsid w:val="006061DA"/>
    <w:rsid w:val="00661C12"/>
    <w:rsid w:val="006656DC"/>
    <w:rsid w:val="00667E43"/>
    <w:rsid w:val="00692BAA"/>
    <w:rsid w:val="006A116B"/>
    <w:rsid w:val="006B08EB"/>
    <w:rsid w:val="006B16A0"/>
    <w:rsid w:val="006D21A8"/>
    <w:rsid w:val="006D2E9A"/>
    <w:rsid w:val="006D48D5"/>
    <w:rsid w:val="00726394"/>
    <w:rsid w:val="00743675"/>
    <w:rsid w:val="007460A9"/>
    <w:rsid w:val="007471DF"/>
    <w:rsid w:val="00757358"/>
    <w:rsid w:val="00761C86"/>
    <w:rsid w:val="00774C40"/>
    <w:rsid w:val="0079649D"/>
    <w:rsid w:val="007C4048"/>
    <w:rsid w:val="007D062D"/>
    <w:rsid w:val="008053FB"/>
    <w:rsid w:val="00827B8D"/>
    <w:rsid w:val="00867BF2"/>
    <w:rsid w:val="00873599"/>
    <w:rsid w:val="008836D6"/>
    <w:rsid w:val="008C2776"/>
    <w:rsid w:val="008D0121"/>
    <w:rsid w:val="008D250E"/>
    <w:rsid w:val="00907067"/>
    <w:rsid w:val="0093159B"/>
    <w:rsid w:val="00935262"/>
    <w:rsid w:val="00956356"/>
    <w:rsid w:val="0098576B"/>
    <w:rsid w:val="009A0A2E"/>
    <w:rsid w:val="009B34F6"/>
    <w:rsid w:val="009B41DB"/>
    <w:rsid w:val="009C0708"/>
    <w:rsid w:val="009C17B2"/>
    <w:rsid w:val="009C246E"/>
    <w:rsid w:val="009C2950"/>
    <w:rsid w:val="009D3DE8"/>
    <w:rsid w:val="009E18B8"/>
    <w:rsid w:val="009F2391"/>
    <w:rsid w:val="009F3D59"/>
    <w:rsid w:val="009F7CEF"/>
    <w:rsid w:val="00A02EDD"/>
    <w:rsid w:val="00A06A4C"/>
    <w:rsid w:val="00A06EB8"/>
    <w:rsid w:val="00A17F6F"/>
    <w:rsid w:val="00A4499E"/>
    <w:rsid w:val="00A46B3B"/>
    <w:rsid w:val="00A4717B"/>
    <w:rsid w:val="00A524C7"/>
    <w:rsid w:val="00A52829"/>
    <w:rsid w:val="00A538F0"/>
    <w:rsid w:val="00A7790B"/>
    <w:rsid w:val="00A82350"/>
    <w:rsid w:val="00AC6DFD"/>
    <w:rsid w:val="00AD66B1"/>
    <w:rsid w:val="00AD7EBC"/>
    <w:rsid w:val="00AF24CF"/>
    <w:rsid w:val="00B23176"/>
    <w:rsid w:val="00B54B26"/>
    <w:rsid w:val="00B65B8F"/>
    <w:rsid w:val="00B7626E"/>
    <w:rsid w:val="00B82628"/>
    <w:rsid w:val="00B96736"/>
    <w:rsid w:val="00BD62CE"/>
    <w:rsid w:val="00BE3293"/>
    <w:rsid w:val="00BF7355"/>
    <w:rsid w:val="00BF764C"/>
    <w:rsid w:val="00C06E51"/>
    <w:rsid w:val="00C139F5"/>
    <w:rsid w:val="00C164FC"/>
    <w:rsid w:val="00C25170"/>
    <w:rsid w:val="00C33B73"/>
    <w:rsid w:val="00C36FC5"/>
    <w:rsid w:val="00C432C6"/>
    <w:rsid w:val="00CA5943"/>
    <w:rsid w:val="00CA7A2C"/>
    <w:rsid w:val="00CB7837"/>
    <w:rsid w:val="00CE67FD"/>
    <w:rsid w:val="00CE6D88"/>
    <w:rsid w:val="00CE702A"/>
    <w:rsid w:val="00CF1185"/>
    <w:rsid w:val="00D20A22"/>
    <w:rsid w:val="00D239A4"/>
    <w:rsid w:val="00D25A90"/>
    <w:rsid w:val="00D26FF1"/>
    <w:rsid w:val="00D37174"/>
    <w:rsid w:val="00D45847"/>
    <w:rsid w:val="00D514F0"/>
    <w:rsid w:val="00D565CD"/>
    <w:rsid w:val="00D81F78"/>
    <w:rsid w:val="00D83094"/>
    <w:rsid w:val="00D9032A"/>
    <w:rsid w:val="00D93D28"/>
    <w:rsid w:val="00D94854"/>
    <w:rsid w:val="00DA20BA"/>
    <w:rsid w:val="00DB7DAF"/>
    <w:rsid w:val="00DC4BBA"/>
    <w:rsid w:val="00DD2A9E"/>
    <w:rsid w:val="00DD3801"/>
    <w:rsid w:val="00DD4EE3"/>
    <w:rsid w:val="00DF2C9C"/>
    <w:rsid w:val="00E00D6A"/>
    <w:rsid w:val="00E8719A"/>
    <w:rsid w:val="00E95BBF"/>
    <w:rsid w:val="00EB2241"/>
    <w:rsid w:val="00EC1ED0"/>
    <w:rsid w:val="00ED6531"/>
    <w:rsid w:val="00F1271D"/>
    <w:rsid w:val="00F162A9"/>
    <w:rsid w:val="00F2236C"/>
    <w:rsid w:val="00F6001E"/>
    <w:rsid w:val="00F65A07"/>
    <w:rsid w:val="00F86BC4"/>
    <w:rsid w:val="00FB17B0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8666"/>
  <w15:docId w15:val="{F71C3774-C67B-4E2E-B09C-16613C4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75"/>
  </w:style>
  <w:style w:type="paragraph" w:styleId="Heading1">
    <w:name w:val="heading 1"/>
    <w:basedOn w:val="Normal"/>
    <w:next w:val="Normal"/>
    <w:link w:val="Heading1Char"/>
    <w:uiPriority w:val="9"/>
    <w:qFormat/>
    <w:rsid w:val="00236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B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B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743675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743675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743675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743675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743675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743675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43675"/>
    <w:pPr>
      <w:ind w:left="720"/>
      <w:contextualSpacing/>
    </w:pPr>
  </w:style>
  <w:style w:type="paragraph" w:customStyle="1" w:styleId="SOPLevel1">
    <w:name w:val="SOP Level 1"/>
    <w:basedOn w:val="SOPBasis"/>
    <w:qFormat/>
    <w:rsid w:val="00743675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743675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743675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743675"/>
    <w:pPr>
      <w:numPr>
        <w:ilvl w:val="3"/>
        <w:numId w:val="9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743675"/>
    <w:pPr>
      <w:numPr>
        <w:ilvl w:val="4"/>
        <w:numId w:val="9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743675"/>
    <w:pPr>
      <w:numPr>
        <w:ilvl w:val="5"/>
        <w:numId w:val="9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743675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743675"/>
  </w:style>
  <w:style w:type="character" w:customStyle="1" w:styleId="SOPDefinition">
    <w:name w:val="SOP Definition"/>
    <w:basedOn w:val="SOPDefault"/>
    <w:uiPriority w:val="1"/>
    <w:qFormat/>
    <w:rsid w:val="00743675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D65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6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6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6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36B8C"/>
    <w:rPr>
      <w:b/>
      <w:bCs/>
    </w:rPr>
  </w:style>
  <w:style w:type="character" w:styleId="Emphasis">
    <w:name w:val="Emphasis"/>
    <w:uiPriority w:val="20"/>
    <w:qFormat/>
    <w:rsid w:val="00236B8C"/>
    <w:rPr>
      <w:i/>
      <w:iCs/>
    </w:rPr>
  </w:style>
  <w:style w:type="paragraph" w:styleId="NoSpacing">
    <w:name w:val="No Spacing"/>
    <w:basedOn w:val="Normal"/>
    <w:uiPriority w:val="1"/>
    <w:qFormat/>
    <w:rsid w:val="00236B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6B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6B8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8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36B8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36B8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236B8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36B8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36B8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6B8C"/>
    <w:pPr>
      <w:outlineLvl w:val="9"/>
    </w:pPr>
  </w:style>
  <w:style w:type="paragraph" w:customStyle="1" w:styleId="Image">
    <w:name w:val="Image"/>
    <w:basedOn w:val="Normal"/>
    <w:next w:val="Normal"/>
    <w:qFormat/>
    <w:rsid w:val="00743675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761C8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0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2326-176B-4239-A258-BAFF0D5E0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A4C34-A3ED-4CF6-B81F-17A2EE95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87E8F-A988-4F85-80F3-E0BD6C7F33C4}">
  <ds:schemaRefs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427746-D465-4FAF-8620-8BDF283D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Unexpected Incarceration</vt:lpstr>
    </vt:vector>
  </TitlesOfParts>
  <Company>Copyright © 2013 WIRB-Copernicus Group. All rights reserved.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Unexpected Incarceration</dc:title>
  <dc:subject>HRP-113</dc:subject>
  <dc:creator>Jeffrey A. Cooper, MD, MMM</dc:creator>
  <dc:description>21 Jan 2019</dc:description>
  <cp:lastModifiedBy>Rachel A Myer</cp:lastModifiedBy>
  <cp:revision>14</cp:revision>
  <dcterms:created xsi:type="dcterms:W3CDTF">2020-04-30T20:30:00Z</dcterms:created>
  <dcterms:modified xsi:type="dcterms:W3CDTF">2025-09-05T12:58:00Z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6000</vt:r8>
  </property>
  <property fmtid="{D5CDD505-2E9C-101B-9397-08002B2CF9AE}" pid="3" name="ContentTypeId">
    <vt:lpwstr>0x010100FA3106C0D91A1140A2CB07EBA4606A82</vt:lpwstr>
  </property>
  <property fmtid="{D5CDD505-2E9C-101B-9397-08002B2CF9AE}" pid="4" name="MediaServiceImageTags">
    <vt:lpwstr/>
  </property>
</Properties>
</file>